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8FB71" w14:textId="77777777" w:rsidR="00953275" w:rsidRPr="00953275" w:rsidRDefault="00953275" w:rsidP="00953275">
      <w:pPr>
        <w:pStyle w:val="Heading2"/>
        <w:spacing w:line="240" w:lineRule="auto"/>
        <w:jc w:val="center"/>
        <w:rPr>
          <w:b/>
          <w:color w:val="000000" w:themeColor="text1"/>
        </w:rPr>
      </w:pPr>
      <w:r w:rsidRPr="00953275">
        <w:rPr>
          <w:b/>
          <w:color w:val="000000" w:themeColor="text1"/>
        </w:rPr>
        <w:t>Requirement</w:t>
      </w:r>
      <w:r w:rsidR="003B596A">
        <w:rPr>
          <w:b/>
          <w:color w:val="000000" w:themeColor="text1"/>
        </w:rPr>
        <w:t>s</w:t>
      </w:r>
      <w:r w:rsidRPr="00953275">
        <w:rPr>
          <w:b/>
          <w:color w:val="000000" w:themeColor="text1"/>
        </w:rPr>
        <w:t xml:space="preserve"> while setting up the issue on EBP Platform for privately placed debt securities</w:t>
      </w:r>
    </w:p>
    <w:p w14:paraId="5212CB02" w14:textId="77777777" w:rsidR="00953275" w:rsidRPr="00953275" w:rsidRDefault="00953275" w:rsidP="00953275">
      <w:pPr>
        <w:pStyle w:val="Heading2"/>
        <w:spacing w:line="240" w:lineRule="auto"/>
        <w:rPr>
          <w:color w:val="000000" w:themeColor="text1"/>
        </w:rPr>
      </w:pPr>
    </w:p>
    <w:tbl>
      <w:tblPr>
        <w:tblStyle w:val="TableGrid"/>
        <w:tblW w:w="0" w:type="auto"/>
        <w:tblLook w:val="04A0" w:firstRow="1" w:lastRow="0" w:firstColumn="1" w:lastColumn="0" w:noHBand="0" w:noVBand="1"/>
      </w:tblPr>
      <w:tblGrid>
        <w:gridCol w:w="1129"/>
        <w:gridCol w:w="8194"/>
      </w:tblGrid>
      <w:tr w:rsidR="00953275" w:rsidRPr="00953275" w14:paraId="0B92899A" w14:textId="77777777" w:rsidTr="00953275">
        <w:tc>
          <w:tcPr>
            <w:tcW w:w="1129" w:type="dxa"/>
          </w:tcPr>
          <w:p w14:paraId="3602E4F8" w14:textId="77777777" w:rsidR="00953275" w:rsidRPr="00953275" w:rsidRDefault="00953275" w:rsidP="00953275">
            <w:pPr>
              <w:pStyle w:val="Heading2"/>
              <w:outlineLvl w:val="1"/>
              <w:rPr>
                <w:b/>
                <w:color w:val="000000" w:themeColor="text1"/>
              </w:rPr>
            </w:pPr>
            <w:r w:rsidRPr="00953275">
              <w:rPr>
                <w:b/>
                <w:color w:val="000000" w:themeColor="text1"/>
              </w:rPr>
              <w:t>Sr.No</w:t>
            </w:r>
          </w:p>
        </w:tc>
        <w:tc>
          <w:tcPr>
            <w:tcW w:w="8194" w:type="dxa"/>
          </w:tcPr>
          <w:p w14:paraId="2816BE62" w14:textId="77777777" w:rsidR="00953275" w:rsidRPr="00953275" w:rsidRDefault="00953275" w:rsidP="00953275">
            <w:pPr>
              <w:pStyle w:val="Heading2"/>
              <w:outlineLvl w:val="1"/>
              <w:rPr>
                <w:b/>
                <w:color w:val="000000" w:themeColor="text1"/>
              </w:rPr>
            </w:pPr>
            <w:r w:rsidRPr="00953275">
              <w:rPr>
                <w:b/>
                <w:color w:val="000000" w:themeColor="text1"/>
              </w:rPr>
              <w:t>Particulars</w:t>
            </w:r>
          </w:p>
        </w:tc>
      </w:tr>
      <w:tr w:rsidR="00953275" w:rsidRPr="00953275" w14:paraId="14FCE0FF" w14:textId="77777777" w:rsidTr="00953275">
        <w:tc>
          <w:tcPr>
            <w:tcW w:w="1129" w:type="dxa"/>
          </w:tcPr>
          <w:p w14:paraId="0FB57DD0" w14:textId="77777777" w:rsidR="00953275" w:rsidRPr="00953275" w:rsidRDefault="00953275" w:rsidP="00953275">
            <w:pPr>
              <w:pStyle w:val="Heading2"/>
              <w:jc w:val="center"/>
              <w:outlineLvl w:val="1"/>
              <w:rPr>
                <w:color w:val="000000" w:themeColor="text1"/>
              </w:rPr>
            </w:pPr>
            <w:r w:rsidRPr="00953275">
              <w:rPr>
                <w:color w:val="000000" w:themeColor="text1"/>
              </w:rPr>
              <w:t>1</w:t>
            </w:r>
          </w:p>
        </w:tc>
        <w:tc>
          <w:tcPr>
            <w:tcW w:w="8194" w:type="dxa"/>
          </w:tcPr>
          <w:p w14:paraId="40A85620" w14:textId="082DD9E2" w:rsidR="00953275" w:rsidRPr="00953275" w:rsidRDefault="002E5ED8" w:rsidP="002E5ED8">
            <w:pPr>
              <w:pStyle w:val="Heading2"/>
              <w:jc w:val="both"/>
              <w:outlineLvl w:val="1"/>
              <w:rPr>
                <w:color w:val="000000" w:themeColor="text1"/>
              </w:rPr>
            </w:pPr>
            <w:r w:rsidRPr="002E5ED8">
              <w:rPr>
                <w:color w:val="000000" w:themeColor="text1"/>
              </w:rPr>
              <w:t>Draft Disclosure Document prepared as per SEBI (Issue and Listing of Debt Securities) Regulations, 2008 / SEBI (Issue and Listing of Non-Convertible Redeemable Preference Shares) Regulations, 2013 and any amendments thereto#</w:t>
            </w:r>
          </w:p>
        </w:tc>
      </w:tr>
      <w:tr w:rsidR="00953275" w:rsidRPr="00953275" w14:paraId="73114E3B" w14:textId="77777777" w:rsidTr="00953275">
        <w:tc>
          <w:tcPr>
            <w:tcW w:w="1129" w:type="dxa"/>
          </w:tcPr>
          <w:p w14:paraId="4450422C" w14:textId="77777777" w:rsidR="00953275" w:rsidRPr="00953275" w:rsidRDefault="00953275" w:rsidP="00953275">
            <w:pPr>
              <w:pStyle w:val="Heading2"/>
              <w:jc w:val="center"/>
              <w:outlineLvl w:val="1"/>
              <w:rPr>
                <w:color w:val="000000" w:themeColor="text1"/>
              </w:rPr>
            </w:pPr>
            <w:r w:rsidRPr="00953275">
              <w:rPr>
                <w:color w:val="000000" w:themeColor="text1"/>
              </w:rPr>
              <w:t>2</w:t>
            </w:r>
          </w:p>
        </w:tc>
        <w:tc>
          <w:tcPr>
            <w:tcW w:w="8194" w:type="dxa"/>
          </w:tcPr>
          <w:p w14:paraId="560759EA" w14:textId="77777777" w:rsidR="00953275" w:rsidRPr="00953275" w:rsidRDefault="00953275" w:rsidP="00953275">
            <w:pPr>
              <w:pStyle w:val="Heading2"/>
              <w:outlineLvl w:val="1"/>
              <w:rPr>
                <w:color w:val="000000" w:themeColor="text1"/>
              </w:rPr>
            </w:pPr>
            <w:r w:rsidRPr="00953275">
              <w:rPr>
                <w:color w:val="000000" w:themeColor="text1"/>
              </w:rPr>
              <w:t>Certification from the Company as per Annexure</w:t>
            </w:r>
          </w:p>
        </w:tc>
      </w:tr>
      <w:tr w:rsidR="00953275" w:rsidRPr="00953275" w14:paraId="16EAF86F" w14:textId="77777777" w:rsidTr="00953275">
        <w:tc>
          <w:tcPr>
            <w:tcW w:w="1129" w:type="dxa"/>
          </w:tcPr>
          <w:p w14:paraId="79F320AC" w14:textId="77777777" w:rsidR="00953275" w:rsidRPr="00953275" w:rsidRDefault="00953275" w:rsidP="00120AE2">
            <w:pPr>
              <w:pStyle w:val="Heading2"/>
              <w:jc w:val="center"/>
              <w:outlineLvl w:val="1"/>
              <w:rPr>
                <w:color w:val="000000" w:themeColor="text1"/>
              </w:rPr>
            </w:pPr>
            <w:r w:rsidRPr="00953275">
              <w:rPr>
                <w:color w:val="000000" w:themeColor="text1"/>
              </w:rPr>
              <w:t>3</w:t>
            </w:r>
          </w:p>
        </w:tc>
        <w:tc>
          <w:tcPr>
            <w:tcW w:w="8194" w:type="dxa"/>
          </w:tcPr>
          <w:p w14:paraId="7F394E68" w14:textId="77777777" w:rsidR="00E1755B" w:rsidRDefault="00953275" w:rsidP="00120AE2">
            <w:pPr>
              <w:pStyle w:val="Heading2"/>
              <w:outlineLvl w:val="1"/>
              <w:rPr>
                <w:color w:val="000000" w:themeColor="text1"/>
              </w:rPr>
            </w:pPr>
            <w:r w:rsidRPr="00953275">
              <w:rPr>
                <w:color w:val="000000" w:themeColor="text1"/>
              </w:rPr>
              <w:t>Credit Rating Letters by registered credit rating agency</w:t>
            </w:r>
            <w:r>
              <w:rPr>
                <w:color w:val="000000" w:themeColor="text1"/>
              </w:rPr>
              <w:t xml:space="preserve"> </w:t>
            </w:r>
            <w:r w:rsidRPr="00953275">
              <w:rPr>
                <w:color w:val="000000" w:themeColor="text1"/>
              </w:rPr>
              <w:t>(ies)</w:t>
            </w:r>
          </w:p>
          <w:p w14:paraId="5481E996" w14:textId="77777777" w:rsidR="00120AE2" w:rsidRPr="00120AE2" w:rsidRDefault="00120AE2" w:rsidP="00120AE2">
            <w:pPr>
              <w:tabs>
                <w:tab w:val="left" w:pos="7005"/>
              </w:tabs>
              <w:rPr>
                <w:rFonts w:asciiTheme="majorHAnsi" w:eastAsiaTheme="majorEastAsia" w:hAnsiTheme="majorHAnsi" w:cstheme="majorBidi"/>
                <w:color w:val="000000" w:themeColor="text1"/>
                <w:sz w:val="26"/>
                <w:szCs w:val="26"/>
              </w:rPr>
            </w:pPr>
            <w:r>
              <w:rPr>
                <w:rFonts w:asciiTheme="majorHAnsi" w:eastAsiaTheme="majorEastAsia" w:hAnsiTheme="majorHAnsi" w:cstheme="majorBidi"/>
                <w:color w:val="000000" w:themeColor="text1"/>
                <w:sz w:val="26"/>
                <w:szCs w:val="26"/>
              </w:rPr>
              <w:t>(</w:t>
            </w:r>
            <w:r w:rsidRPr="00120AE2">
              <w:rPr>
                <w:rFonts w:asciiTheme="majorHAnsi" w:eastAsiaTheme="majorEastAsia" w:hAnsiTheme="majorHAnsi" w:cstheme="majorBidi"/>
                <w:i/>
                <w:color w:val="000000" w:themeColor="text1"/>
                <w:sz w:val="26"/>
                <w:szCs w:val="26"/>
              </w:rPr>
              <w:t>not older than one month on the date of opening of the issue</w:t>
            </w:r>
            <w:r>
              <w:rPr>
                <w:rFonts w:asciiTheme="majorHAnsi" w:eastAsiaTheme="majorEastAsia" w:hAnsiTheme="majorHAnsi" w:cstheme="majorBidi"/>
                <w:color w:val="000000" w:themeColor="text1"/>
                <w:sz w:val="26"/>
                <w:szCs w:val="26"/>
              </w:rPr>
              <w:t>)</w:t>
            </w:r>
          </w:p>
        </w:tc>
      </w:tr>
      <w:tr w:rsidR="002E5ED8" w:rsidRPr="00953275" w14:paraId="571FA51C" w14:textId="77777777" w:rsidTr="00953275">
        <w:tc>
          <w:tcPr>
            <w:tcW w:w="1129" w:type="dxa"/>
          </w:tcPr>
          <w:p w14:paraId="4FC1D37F" w14:textId="13425DB6" w:rsidR="002E5ED8" w:rsidRPr="00953275" w:rsidRDefault="002E5ED8" w:rsidP="00120AE2">
            <w:pPr>
              <w:pStyle w:val="Heading2"/>
              <w:jc w:val="center"/>
              <w:outlineLvl w:val="1"/>
              <w:rPr>
                <w:color w:val="000000" w:themeColor="text1"/>
              </w:rPr>
            </w:pPr>
            <w:r>
              <w:rPr>
                <w:color w:val="000000" w:themeColor="text1"/>
              </w:rPr>
              <w:t>4</w:t>
            </w:r>
          </w:p>
        </w:tc>
        <w:tc>
          <w:tcPr>
            <w:tcW w:w="8194" w:type="dxa"/>
          </w:tcPr>
          <w:p w14:paraId="59DB8F91" w14:textId="7187D7DC" w:rsidR="002E5ED8" w:rsidRPr="00953275" w:rsidRDefault="002E5ED8" w:rsidP="00120AE2">
            <w:pPr>
              <w:pStyle w:val="Heading2"/>
              <w:outlineLvl w:val="1"/>
              <w:rPr>
                <w:color w:val="000000" w:themeColor="text1"/>
              </w:rPr>
            </w:pPr>
            <w:r w:rsidRPr="002E5ED8">
              <w:rPr>
                <w:color w:val="000000" w:themeColor="text1"/>
              </w:rPr>
              <w:t>In case of secured instruments, Due diligence certificate from debenture trustee as per Annexure A of SEBI circular no. SEBI/HO/MIRSD/CRADT/CIR/P/2020/218 dated November 03, 2020 and any amendments thereto</w:t>
            </w:r>
          </w:p>
        </w:tc>
      </w:tr>
      <w:tr w:rsidR="00953275" w:rsidRPr="00953275" w14:paraId="3109BFD4" w14:textId="77777777" w:rsidTr="00953275">
        <w:tc>
          <w:tcPr>
            <w:tcW w:w="1129" w:type="dxa"/>
          </w:tcPr>
          <w:p w14:paraId="4F49851A" w14:textId="68E18D33" w:rsidR="00953275" w:rsidRPr="00953275" w:rsidRDefault="002E5ED8" w:rsidP="00953275">
            <w:pPr>
              <w:pStyle w:val="Heading2"/>
              <w:jc w:val="center"/>
              <w:outlineLvl w:val="1"/>
              <w:rPr>
                <w:color w:val="000000" w:themeColor="text1"/>
              </w:rPr>
            </w:pPr>
            <w:r>
              <w:rPr>
                <w:color w:val="000000" w:themeColor="text1"/>
              </w:rPr>
              <w:t>5</w:t>
            </w:r>
          </w:p>
        </w:tc>
        <w:tc>
          <w:tcPr>
            <w:tcW w:w="8194" w:type="dxa"/>
          </w:tcPr>
          <w:p w14:paraId="52841AEC" w14:textId="77777777" w:rsidR="00953275" w:rsidRPr="00953275" w:rsidRDefault="00953275" w:rsidP="00953275">
            <w:pPr>
              <w:pStyle w:val="Heading2"/>
              <w:outlineLvl w:val="1"/>
              <w:rPr>
                <w:color w:val="000000" w:themeColor="text1"/>
              </w:rPr>
            </w:pPr>
            <w:r w:rsidRPr="00953275">
              <w:rPr>
                <w:color w:val="000000" w:themeColor="text1"/>
              </w:rPr>
              <w:t>Consent letter from the Debenture Trustee</w:t>
            </w:r>
          </w:p>
        </w:tc>
      </w:tr>
      <w:tr w:rsidR="00953275" w:rsidRPr="00953275" w14:paraId="538A6FB1" w14:textId="77777777" w:rsidTr="00953275">
        <w:tc>
          <w:tcPr>
            <w:tcW w:w="1129" w:type="dxa"/>
          </w:tcPr>
          <w:p w14:paraId="5E10F7AA" w14:textId="0EF8513C" w:rsidR="00953275" w:rsidRPr="00953275" w:rsidRDefault="002E5ED8" w:rsidP="009024C5">
            <w:pPr>
              <w:pStyle w:val="Heading2"/>
              <w:jc w:val="center"/>
              <w:outlineLvl w:val="1"/>
              <w:rPr>
                <w:color w:val="000000" w:themeColor="text1"/>
              </w:rPr>
            </w:pPr>
            <w:r>
              <w:rPr>
                <w:color w:val="000000" w:themeColor="text1"/>
              </w:rPr>
              <w:t>6</w:t>
            </w:r>
          </w:p>
        </w:tc>
        <w:tc>
          <w:tcPr>
            <w:tcW w:w="8194" w:type="dxa"/>
          </w:tcPr>
          <w:p w14:paraId="4BFA11D1" w14:textId="77777777" w:rsidR="00953275" w:rsidRPr="00953275" w:rsidRDefault="00953275" w:rsidP="009024C5">
            <w:pPr>
              <w:pStyle w:val="Heading2"/>
              <w:outlineLvl w:val="1"/>
              <w:rPr>
                <w:color w:val="000000" w:themeColor="text1"/>
              </w:rPr>
            </w:pPr>
            <w:r w:rsidRPr="00953275">
              <w:rPr>
                <w:color w:val="000000" w:themeColor="text1"/>
              </w:rPr>
              <w:t xml:space="preserve">Annual </w:t>
            </w:r>
            <w:r w:rsidRPr="009024C5">
              <w:rPr>
                <w:color w:val="000000" w:themeColor="text1"/>
              </w:rPr>
              <w:t>Results</w:t>
            </w:r>
            <w:r w:rsidRPr="00953275">
              <w:rPr>
                <w:color w:val="000000" w:themeColor="text1"/>
              </w:rPr>
              <w:t xml:space="preserve"> for the last </w:t>
            </w:r>
            <w:r w:rsidRPr="009024C5">
              <w:rPr>
                <w:color w:val="000000" w:themeColor="text1"/>
              </w:rPr>
              <w:t>three</w:t>
            </w:r>
            <w:r w:rsidRPr="00953275">
              <w:rPr>
                <w:color w:val="000000" w:themeColor="text1"/>
              </w:rPr>
              <w:t xml:space="preserve"> years</w:t>
            </w:r>
          </w:p>
        </w:tc>
      </w:tr>
      <w:tr w:rsidR="00120AE2" w:rsidRPr="00953275" w14:paraId="57FDF57A" w14:textId="77777777" w:rsidTr="00953275">
        <w:tc>
          <w:tcPr>
            <w:tcW w:w="1129" w:type="dxa"/>
          </w:tcPr>
          <w:p w14:paraId="00EBC14E" w14:textId="3030DC03" w:rsidR="00120AE2" w:rsidRPr="00953275" w:rsidRDefault="002E5ED8" w:rsidP="009024C5">
            <w:pPr>
              <w:pStyle w:val="Heading2"/>
              <w:jc w:val="center"/>
              <w:outlineLvl w:val="1"/>
              <w:rPr>
                <w:color w:val="000000" w:themeColor="text1"/>
              </w:rPr>
            </w:pPr>
            <w:r>
              <w:rPr>
                <w:color w:val="000000" w:themeColor="text1"/>
              </w:rPr>
              <w:t>7</w:t>
            </w:r>
          </w:p>
        </w:tc>
        <w:tc>
          <w:tcPr>
            <w:tcW w:w="8194" w:type="dxa"/>
          </w:tcPr>
          <w:p w14:paraId="6F63854E" w14:textId="156A5854" w:rsidR="00120AE2" w:rsidRPr="00953275" w:rsidRDefault="002E5ED8" w:rsidP="009024C5">
            <w:pPr>
              <w:pStyle w:val="Heading2"/>
              <w:outlineLvl w:val="1"/>
              <w:rPr>
                <w:color w:val="000000" w:themeColor="text1"/>
              </w:rPr>
            </w:pPr>
            <w:r w:rsidRPr="002E5ED8">
              <w:rPr>
                <w:color w:val="000000" w:themeColor="text1"/>
              </w:rPr>
              <w:t>Disclosure Document shall contain Audited financials/Unaudited financials with Limited Review, as applicable, which are not older than 6 months from the date of the disclosure document, including for stub period</w:t>
            </w:r>
          </w:p>
        </w:tc>
      </w:tr>
    </w:tbl>
    <w:p w14:paraId="44BF1D2A" w14:textId="77777777" w:rsidR="00953275" w:rsidRDefault="00953275" w:rsidP="00953275">
      <w:pPr>
        <w:jc w:val="center"/>
      </w:pPr>
    </w:p>
    <w:p w14:paraId="72CEB7E9" w14:textId="77777777" w:rsidR="00953275" w:rsidRDefault="00953275" w:rsidP="00232180">
      <w:pPr>
        <w:jc w:val="center"/>
      </w:pPr>
    </w:p>
    <w:p w14:paraId="7F7255CF" w14:textId="77777777" w:rsidR="00953275" w:rsidRDefault="00953275" w:rsidP="00232180">
      <w:pPr>
        <w:jc w:val="center"/>
      </w:pPr>
    </w:p>
    <w:p w14:paraId="6052E341" w14:textId="77777777" w:rsidR="00953275" w:rsidRDefault="00953275" w:rsidP="00232180">
      <w:pPr>
        <w:jc w:val="center"/>
      </w:pPr>
    </w:p>
    <w:p w14:paraId="66E51498" w14:textId="77777777" w:rsidR="00953275" w:rsidRDefault="00953275">
      <w:r>
        <w:br w:type="page"/>
      </w:r>
    </w:p>
    <w:p w14:paraId="02C6A172" w14:textId="77777777" w:rsidR="00755950" w:rsidRPr="00321C4C" w:rsidRDefault="00755950" w:rsidP="00755950">
      <w:pPr>
        <w:jc w:val="center"/>
        <w:rPr>
          <w:b/>
        </w:rPr>
      </w:pPr>
      <w:r w:rsidRPr="00321C4C">
        <w:rPr>
          <w:b/>
        </w:rPr>
        <w:lastRenderedPageBreak/>
        <w:t>Annexure</w:t>
      </w:r>
      <w:r>
        <w:rPr>
          <w:b/>
        </w:rPr>
        <w:t xml:space="preserve"> </w:t>
      </w:r>
      <w:r w:rsidRPr="00321C4C">
        <w:rPr>
          <w:b/>
        </w:rPr>
        <w:t>I</w:t>
      </w:r>
    </w:p>
    <w:p w14:paraId="192C32B6" w14:textId="77777777" w:rsidR="00755950" w:rsidRPr="00321C4C" w:rsidRDefault="00755950" w:rsidP="00755950">
      <w:pPr>
        <w:jc w:val="center"/>
        <w:rPr>
          <w:b/>
          <w:i/>
        </w:rPr>
      </w:pPr>
      <w:r w:rsidRPr="00321C4C">
        <w:rPr>
          <w:b/>
          <w:i/>
        </w:rPr>
        <w:t>(On the letterhead of the Issuer)</w:t>
      </w:r>
    </w:p>
    <w:p w14:paraId="4FA22E9C" w14:textId="77777777" w:rsidR="00755950" w:rsidRPr="00321C4C" w:rsidRDefault="00755950" w:rsidP="00755950">
      <w:pPr>
        <w:jc w:val="center"/>
        <w:rPr>
          <w:b/>
        </w:rPr>
      </w:pPr>
    </w:p>
    <w:p w14:paraId="1BE2F3E3" w14:textId="7DA34BDA" w:rsidR="00755950" w:rsidRPr="00321C4C" w:rsidRDefault="00755950" w:rsidP="00755950">
      <w:pPr>
        <w:jc w:val="center"/>
      </w:pPr>
      <w:r>
        <w:t xml:space="preserve">                                                                                                                               </w:t>
      </w:r>
      <w:r w:rsidRPr="00321C4C">
        <w:t>Date:</w:t>
      </w:r>
    </w:p>
    <w:p w14:paraId="6CB2FD71" w14:textId="77777777" w:rsidR="00755950" w:rsidRPr="00321C4C" w:rsidRDefault="00755950" w:rsidP="00755950">
      <w:pPr>
        <w:jc w:val="both"/>
      </w:pPr>
      <w:r w:rsidRPr="00321C4C">
        <w:t xml:space="preserve">To, </w:t>
      </w:r>
    </w:p>
    <w:p w14:paraId="29B1B7D0" w14:textId="77777777" w:rsidR="00755950" w:rsidRPr="00321C4C" w:rsidRDefault="00755950" w:rsidP="00755950">
      <w:pPr>
        <w:pStyle w:val="NoSpacing"/>
      </w:pPr>
      <w:r w:rsidRPr="00321C4C">
        <w:t>National Stock Exchange of India Limited</w:t>
      </w:r>
    </w:p>
    <w:p w14:paraId="21E55F6F" w14:textId="77777777" w:rsidR="00755950" w:rsidRPr="00321C4C" w:rsidRDefault="00755950" w:rsidP="00755950">
      <w:pPr>
        <w:pStyle w:val="NoSpacing"/>
      </w:pPr>
      <w:r w:rsidRPr="00321C4C">
        <w:t xml:space="preserve">Exchange Plaza, </w:t>
      </w:r>
    </w:p>
    <w:p w14:paraId="778AF9FD" w14:textId="77777777" w:rsidR="00755950" w:rsidRPr="00321C4C" w:rsidRDefault="00755950" w:rsidP="00755950">
      <w:pPr>
        <w:pStyle w:val="NoSpacing"/>
      </w:pPr>
      <w:r w:rsidRPr="00321C4C">
        <w:t xml:space="preserve">Bandra Kurla Complex, Bandra (East), </w:t>
      </w:r>
    </w:p>
    <w:p w14:paraId="29A568DB" w14:textId="77777777" w:rsidR="00755950" w:rsidRPr="00321C4C" w:rsidRDefault="00755950" w:rsidP="00755950">
      <w:pPr>
        <w:jc w:val="both"/>
      </w:pPr>
      <w:r w:rsidRPr="00321C4C">
        <w:t xml:space="preserve">Mumbai– 400051 </w:t>
      </w:r>
    </w:p>
    <w:p w14:paraId="49B45C78" w14:textId="77777777" w:rsidR="00755950" w:rsidRPr="00321C4C" w:rsidRDefault="00755950" w:rsidP="00755950">
      <w:pPr>
        <w:jc w:val="both"/>
      </w:pPr>
    </w:p>
    <w:p w14:paraId="274C494D" w14:textId="77777777" w:rsidR="00755950" w:rsidRPr="00321C4C" w:rsidRDefault="00755950" w:rsidP="00755950">
      <w:pPr>
        <w:jc w:val="both"/>
      </w:pPr>
      <w:r w:rsidRPr="00321C4C">
        <w:t>Dear Sir/Madam,</w:t>
      </w:r>
    </w:p>
    <w:p w14:paraId="34A4E36B" w14:textId="77777777" w:rsidR="00755950" w:rsidRPr="00321C4C" w:rsidRDefault="00755950" w:rsidP="00755950">
      <w:pPr>
        <w:jc w:val="both"/>
        <w:rPr>
          <w:b/>
        </w:rPr>
      </w:pPr>
    </w:p>
    <w:p w14:paraId="34B54E8C" w14:textId="77777777" w:rsidR="00755950" w:rsidRPr="00232180" w:rsidRDefault="00755950" w:rsidP="00755950">
      <w:pPr>
        <w:jc w:val="both"/>
        <w:rPr>
          <w:b/>
        </w:rPr>
      </w:pPr>
      <w:r w:rsidRPr="00232180">
        <w:rPr>
          <w:b/>
        </w:rPr>
        <w:t xml:space="preserve">Sub: </w:t>
      </w:r>
      <w:r>
        <w:rPr>
          <w:b/>
        </w:rPr>
        <w:t xml:space="preserve">Issue of </w:t>
      </w:r>
      <w:r w:rsidRPr="00232180">
        <w:rPr>
          <w:b/>
        </w:rPr>
        <w:t>Debt Securities on Private Placement Basis amounting to INR ________ cr</w:t>
      </w:r>
    </w:p>
    <w:p w14:paraId="2A93200F" w14:textId="77777777" w:rsidR="00755950" w:rsidRPr="00321C4C" w:rsidRDefault="00755950" w:rsidP="00755950">
      <w:pPr>
        <w:autoSpaceDE w:val="0"/>
        <w:autoSpaceDN w:val="0"/>
        <w:adjustRightInd w:val="0"/>
        <w:ind w:left="990"/>
        <w:jc w:val="both"/>
      </w:pPr>
    </w:p>
    <w:p w14:paraId="6941B910" w14:textId="77777777" w:rsidR="00755950" w:rsidRPr="00321C4C" w:rsidRDefault="00755950" w:rsidP="00755950">
      <w:pPr>
        <w:autoSpaceDE w:val="0"/>
        <w:autoSpaceDN w:val="0"/>
        <w:adjustRightInd w:val="0"/>
        <w:jc w:val="both"/>
      </w:pPr>
      <w:r w:rsidRPr="00321C4C">
        <w:t xml:space="preserve">We hereby, confirm the following:- </w:t>
      </w:r>
    </w:p>
    <w:p w14:paraId="19657DF2" w14:textId="77777777" w:rsidR="00755950" w:rsidRPr="00321C4C" w:rsidRDefault="00755950" w:rsidP="00755950">
      <w:pPr>
        <w:autoSpaceDE w:val="0"/>
        <w:autoSpaceDN w:val="0"/>
        <w:adjustRightInd w:val="0"/>
        <w:ind w:left="990"/>
        <w:jc w:val="both"/>
      </w:pPr>
    </w:p>
    <w:p w14:paraId="659D6C4D" w14:textId="77777777" w:rsidR="00755950" w:rsidRPr="00321C4C" w:rsidRDefault="00755950" w:rsidP="00755950">
      <w:pPr>
        <w:pStyle w:val="ListParagraph"/>
        <w:numPr>
          <w:ilvl w:val="0"/>
          <w:numId w:val="2"/>
        </w:numPr>
        <w:autoSpaceDE w:val="0"/>
        <w:autoSpaceDN w:val="0"/>
        <w:adjustRightInd w:val="0"/>
        <w:spacing w:after="0" w:line="240" w:lineRule="auto"/>
        <w:ind w:left="567" w:hanging="357"/>
        <w:contextualSpacing w:val="0"/>
        <w:jc w:val="both"/>
      </w:pPr>
      <w:r w:rsidRPr="00321C4C">
        <w:t xml:space="preserve">the Issuer is eligible in terms of the </w:t>
      </w:r>
      <w:r w:rsidRPr="00321C4C">
        <w:rPr>
          <w:lang w:eastAsia="en-IN"/>
        </w:rPr>
        <w:t>SEBI (Issue and Listing of Debt Securities) Regulations, 2008 /</w:t>
      </w:r>
      <w:r w:rsidRPr="00321C4C">
        <w:t xml:space="preserve"> SEBI (Issue and Listing of Non-Convertible Redeemable Preference Shares) Regulations, 2013 as amended from time to time and is in compliance with the eligibility criteria of NSE and the listing agreement entered into with the Exchange; </w:t>
      </w:r>
    </w:p>
    <w:p w14:paraId="6350B96F" w14:textId="77777777" w:rsidR="00755950" w:rsidRPr="00321C4C" w:rsidRDefault="00755950" w:rsidP="00755950">
      <w:pPr>
        <w:pStyle w:val="ListParagraph"/>
        <w:autoSpaceDE w:val="0"/>
        <w:autoSpaceDN w:val="0"/>
        <w:adjustRightInd w:val="0"/>
        <w:ind w:left="567"/>
        <w:contextualSpacing w:val="0"/>
        <w:jc w:val="both"/>
      </w:pPr>
    </w:p>
    <w:p w14:paraId="2AE6D402" w14:textId="77777777" w:rsidR="00755950" w:rsidRPr="00321C4C" w:rsidRDefault="00755950" w:rsidP="00755950">
      <w:pPr>
        <w:pStyle w:val="ListParagraph"/>
        <w:numPr>
          <w:ilvl w:val="0"/>
          <w:numId w:val="2"/>
        </w:numPr>
        <w:autoSpaceDE w:val="0"/>
        <w:autoSpaceDN w:val="0"/>
        <w:adjustRightInd w:val="0"/>
        <w:spacing w:after="0" w:line="240" w:lineRule="auto"/>
        <w:ind w:left="567" w:hanging="357"/>
        <w:contextualSpacing w:val="0"/>
        <w:jc w:val="both"/>
      </w:pPr>
      <w:r w:rsidRPr="00321C4C">
        <w:t xml:space="preserve">the Issuer, any of its promoters, promoter group or directors are not restrained from issue/allotment of aforesaid securities and/or are not debarred from accessing the capital market in any manner, by any regulatory authority; </w:t>
      </w:r>
    </w:p>
    <w:p w14:paraId="74600DCA" w14:textId="77777777" w:rsidR="00755950" w:rsidRPr="00321C4C" w:rsidRDefault="00755950" w:rsidP="00755950">
      <w:pPr>
        <w:autoSpaceDE w:val="0"/>
        <w:autoSpaceDN w:val="0"/>
        <w:adjustRightInd w:val="0"/>
        <w:jc w:val="both"/>
      </w:pPr>
    </w:p>
    <w:p w14:paraId="23FE0003" w14:textId="77777777" w:rsidR="00755950" w:rsidRPr="00321C4C" w:rsidRDefault="00755950" w:rsidP="00755950">
      <w:pPr>
        <w:pStyle w:val="ListParagraph"/>
        <w:numPr>
          <w:ilvl w:val="0"/>
          <w:numId w:val="2"/>
        </w:numPr>
        <w:spacing w:after="0" w:line="240" w:lineRule="auto"/>
        <w:ind w:left="567" w:hanging="357"/>
        <w:contextualSpacing w:val="0"/>
        <w:jc w:val="both"/>
      </w:pPr>
      <w:r w:rsidRPr="00321C4C">
        <w:t>the Issuer or any of its promoters or directors are not willful defaulters;</w:t>
      </w:r>
    </w:p>
    <w:p w14:paraId="62532FDB" w14:textId="77777777" w:rsidR="00755950" w:rsidRPr="00321C4C" w:rsidRDefault="00755950" w:rsidP="00755950">
      <w:pPr>
        <w:jc w:val="both"/>
      </w:pPr>
    </w:p>
    <w:p w14:paraId="2C5FCA50" w14:textId="77777777" w:rsidR="00755950" w:rsidRPr="00321C4C" w:rsidRDefault="00755950" w:rsidP="00755950">
      <w:pPr>
        <w:pStyle w:val="ListParagraph"/>
        <w:numPr>
          <w:ilvl w:val="0"/>
          <w:numId w:val="2"/>
        </w:numPr>
        <w:autoSpaceDE w:val="0"/>
        <w:autoSpaceDN w:val="0"/>
        <w:adjustRightInd w:val="0"/>
        <w:spacing w:after="0" w:line="240" w:lineRule="auto"/>
        <w:ind w:left="567" w:hanging="357"/>
        <w:contextualSpacing w:val="0"/>
        <w:jc w:val="both"/>
      </w:pPr>
      <w:r w:rsidRPr="00321C4C">
        <w:t xml:space="preserve">none of the promoters or directors of the Issuer is a fugitive economic offender as defined under section 12 of the Fugitive Economic Offenders Act, 2018 as amended from time to time; </w:t>
      </w:r>
    </w:p>
    <w:p w14:paraId="71E12C29" w14:textId="77777777" w:rsidR="00755950" w:rsidRPr="00321C4C" w:rsidRDefault="00755950" w:rsidP="00755950">
      <w:pPr>
        <w:autoSpaceDE w:val="0"/>
        <w:autoSpaceDN w:val="0"/>
        <w:adjustRightInd w:val="0"/>
        <w:jc w:val="both"/>
      </w:pPr>
    </w:p>
    <w:p w14:paraId="66681D93" w14:textId="77777777" w:rsidR="00755950" w:rsidRPr="00321C4C" w:rsidRDefault="00755950" w:rsidP="00755950">
      <w:pPr>
        <w:pStyle w:val="ListParagraph"/>
        <w:numPr>
          <w:ilvl w:val="0"/>
          <w:numId w:val="2"/>
        </w:numPr>
        <w:autoSpaceDE w:val="0"/>
        <w:autoSpaceDN w:val="0"/>
        <w:adjustRightInd w:val="0"/>
        <w:spacing w:after="0" w:line="240" w:lineRule="auto"/>
        <w:ind w:left="567" w:hanging="357"/>
        <w:contextualSpacing w:val="0"/>
        <w:jc w:val="both"/>
      </w:pPr>
      <w:r w:rsidRPr="00321C4C">
        <w:t>the Issuer, its whole time directors, its promoters and the companies which are promoted by any of them, directly or indirectly are not in violation of the provisions of Regulation 24 of the SEBI Delisting Regulations, 2009;</w:t>
      </w:r>
    </w:p>
    <w:p w14:paraId="434373D5" w14:textId="77777777" w:rsidR="00755950" w:rsidRPr="00321C4C" w:rsidRDefault="00755950" w:rsidP="00755950">
      <w:pPr>
        <w:autoSpaceDE w:val="0"/>
        <w:autoSpaceDN w:val="0"/>
        <w:adjustRightInd w:val="0"/>
        <w:jc w:val="both"/>
      </w:pPr>
    </w:p>
    <w:p w14:paraId="0DBF8DA5" w14:textId="77777777" w:rsidR="00755950" w:rsidRPr="00321C4C" w:rsidRDefault="00755950" w:rsidP="00755950">
      <w:pPr>
        <w:pStyle w:val="ListParagraph"/>
        <w:numPr>
          <w:ilvl w:val="0"/>
          <w:numId w:val="2"/>
        </w:numPr>
        <w:autoSpaceDE w:val="0"/>
        <w:autoSpaceDN w:val="0"/>
        <w:adjustRightInd w:val="0"/>
        <w:spacing w:after="0" w:line="240" w:lineRule="auto"/>
        <w:ind w:left="567" w:hanging="357"/>
        <w:contextualSpacing w:val="0"/>
        <w:jc w:val="both"/>
      </w:pPr>
      <w:r w:rsidRPr="00321C4C">
        <w:t>the Issuer has obtained/would obtain necessary approvals from the RBI/Ministry of Finance/any other authority, as may be applicable, for issuance of the captioned Instruments and utilization of funds;</w:t>
      </w:r>
    </w:p>
    <w:p w14:paraId="08A9AF90" w14:textId="77777777" w:rsidR="00755950" w:rsidRPr="00321C4C" w:rsidRDefault="00755950" w:rsidP="00755950">
      <w:pPr>
        <w:autoSpaceDE w:val="0"/>
        <w:autoSpaceDN w:val="0"/>
        <w:adjustRightInd w:val="0"/>
        <w:jc w:val="both"/>
      </w:pPr>
    </w:p>
    <w:p w14:paraId="70C0D8C3" w14:textId="77777777" w:rsidR="00755950" w:rsidRPr="00321C4C" w:rsidRDefault="00755950" w:rsidP="00755950">
      <w:pPr>
        <w:pStyle w:val="ListParagraph"/>
        <w:numPr>
          <w:ilvl w:val="0"/>
          <w:numId w:val="2"/>
        </w:numPr>
        <w:autoSpaceDE w:val="0"/>
        <w:autoSpaceDN w:val="0"/>
        <w:adjustRightInd w:val="0"/>
        <w:spacing w:after="0" w:line="240" w:lineRule="auto"/>
        <w:ind w:left="567" w:hanging="357"/>
        <w:contextualSpacing w:val="0"/>
        <w:jc w:val="both"/>
      </w:pPr>
      <w:r w:rsidRPr="00321C4C">
        <w:lastRenderedPageBreak/>
        <w:t>the Issuer is not a non-compliant entity and there is no fine/penalty  pending to be paid in accordance with SEBI Circular No. SEBI/HO/DDHS/DDHS/CIR/P/2020/231 dated November 13, 2020 and any amendment thereto;</w:t>
      </w:r>
    </w:p>
    <w:p w14:paraId="3148AC8C" w14:textId="77777777" w:rsidR="00755950" w:rsidRPr="00321C4C" w:rsidRDefault="00755950" w:rsidP="00755950">
      <w:pPr>
        <w:pStyle w:val="ListParagraph"/>
        <w:autoSpaceDE w:val="0"/>
        <w:autoSpaceDN w:val="0"/>
        <w:adjustRightInd w:val="0"/>
        <w:ind w:left="540"/>
        <w:contextualSpacing w:val="0"/>
        <w:jc w:val="both"/>
      </w:pPr>
    </w:p>
    <w:p w14:paraId="4C104C81" w14:textId="77777777" w:rsidR="00755950" w:rsidRPr="00321C4C" w:rsidRDefault="00755950" w:rsidP="00755950">
      <w:pPr>
        <w:pStyle w:val="ListParagraph"/>
        <w:autoSpaceDE w:val="0"/>
        <w:autoSpaceDN w:val="0"/>
        <w:adjustRightInd w:val="0"/>
        <w:ind w:left="540"/>
        <w:contextualSpacing w:val="0"/>
        <w:jc w:val="both"/>
      </w:pPr>
      <w:r w:rsidRPr="00321C4C">
        <w:t xml:space="preserve">OR </w:t>
      </w:r>
    </w:p>
    <w:p w14:paraId="2853BBF1" w14:textId="77777777" w:rsidR="00755950" w:rsidRPr="00321C4C" w:rsidRDefault="00755950" w:rsidP="00755950">
      <w:pPr>
        <w:pStyle w:val="ListParagraph"/>
        <w:autoSpaceDE w:val="0"/>
        <w:autoSpaceDN w:val="0"/>
        <w:adjustRightInd w:val="0"/>
        <w:ind w:left="540"/>
        <w:contextualSpacing w:val="0"/>
        <w:jc w:val="both"/>
      </w:pPr>
    </w:p>
    <w:p w14:paraId="2F5DE68A" w14:textId="77777777" w:rsidR="00755950" w:rsidRPr="00321C4C" w:rsidRDefault="00755950" w:rsidP="00755950">
      <w:pPr>
        <w:pStyle w:val="ListParagraph"/>
        <w:autoSpaceDE w:val="0"/>
        <w:autoSpaceDN w:val="0"/>
        <w:adjustRightInd w:val="0"/>
        <w:ind w:left="567"/>
        <w:contextualSpacing w:val="0"/>
        <w:jc w:val="both"/>
      </w:pPr>
      <w:r w:rsidRPr="00321C4C">
        <w:t>the details of the non-compliance and the status of fine/penalty to be paid/paid in accordance with SEBI Circular No. SEBI/HO/DDHS/DDHS/CIR/P/2020/231 dated November 13, 2020 and any amendment thereto are as follows:</w:t>
      </w:r>
    </w:p>
    <w:p w14:paraId="40621BBE" w14:textId="77777777" w:rsidR="00755950" w:rsidRPr="00321C4C" w:rsidRDefault="00755950" w:rsidP="00755950">
      <w:pPr>
        <w:pStyle w:val="ListParagraph"/>
        <w:autoSpaceDE w:val="0"/>
        <w:autoSpaceDN w:val="0"/>
        <w:adjustRightInd w:val="0"/>
        <w:ind w:left="567"/>
        <w:contextualSpacing w:val="0"/>
        <w:jc w:val="both"/>
      </w:pPr>
    </w:p>
    <w:tbl>
      <w:tblPr>
        <w:tblStyle w:val="TableGrid"/>
        <w:tblW w:w="0" w:type="auto"/>
        <w:tblInd w:w="540" w:type="dxa"/>
        <w:tblLook w:val="04A0" w:firstRow="1" w:lastRow="0" w:firstColumn="1" w:lastColumn="0" w:noHBand="0" w:noVBand="1"/>
      </w:tblPr>
      <w:tblGrid>
        <w:gridCol w:w="2663"/>
        <w:gridCol w:w="2255"/>
        <w:gridCol w:w="1765"/>
        <w:gridCol w:w="2100"/>
      </w:tblGrid>
      <w:tr w:rsidR="00755950" w:rsidRPr="00321C4C" w14:paraId="6F4D4851" w14:textId="77777777" w:rsidTr="00472F00">
        <w:tc>
          <w:tcPr>
            <w:tcW w:w="2666" w:type="dxa"/>
          </w:tcPr>
          <w:p w14:paraId="0ECF192D" w14:textId="77777777" w:rsidR="00755950" w:rsidRPr="00321C4C" w:rsidRDefault="00755950" w:rsidP="00472F00">
            <w:pPr>
              <w:pStyle w:val="ListParagraph"/>
              <w:autoSpaceDE w:val="0"/>
              <w:autoSpaceDN w:val="0"/>
              <w:adjustRightInd w:val="0"/>
              <w:ind w:left="0"/>
              <w:contextualSpacing w:val="0"/>
              <w:jc w:val="center"/>
              <w:rPr>
                <w:b/>
                <w:color w:val="000000"/>
                <w:sz w:val="23"/>
                <w:szCs w:val="23"/>
              </w:rPr>
            </w:pPr>
            <w:r w:rsidRPr="00321C4C">
              <w:rPr>
                <w:b/>
                <w:color w:val="000000"/>
                <w:sz w:val="23"/>
                <w:szCs w:val="23"/>
              </w:rPr>
              <w:t>Regulation/Provision</w:t>
            </w:r>
          </w:p>
        </w:tc>
        <w:tc>
          <w:tcPr>
            <w:tcW w:w="2263" w:type="dxa"/>
          </w:tcPr>
          <w:p w14:paraId="3A057BF6" w14:textId="77777777" w:rsidR="00755950" w:rsidRPr="00321C4C" w:rsidRDefault="00755950" w:rsidP="00472F00">
            <w:pPr>
              <w:pStyle w:val="ListParagraph"/>
              <w:autoSpaceDE w:val="0"/>
              <w:autoSpaceDN w:val="0"/>
              <w:adjustRightInd w:val="0"/>
              <w:ind w:left="0"/>
              <w:contextualSpacing w:val="0"/>
              <w:jc w:val="center"/>
              <w:rPr>
                <w:b/>
                <w:color w:val="000000"/>
                <w:sz w:val="23"/>
                <w:szCs w:val="23"/>
              </w:rPr>
            </w:pPr>
            <w:r w:rsidRPr="00321C4C">
              <w:rPr>
                <w:b/>
                <w:color w:val="000000"/>
                <w:sz w:val="23"/>
                <w:szCs w:val="23"/>
              </w:rPr>
              <w:t>Details of non-compliance</w:t>
            </w:r>
          </w:p>
        </w:tc>
        <w:tc>
          <w:tcPr>
            <w:tcW w:w="1771" w:type="dxa"/>
          </w:tcPr>
          <w:p w14:paraId="7F715113" w14:textId="77777777" w:rsidR="00755950" w:rsidRPr="00321C4C" w:rsidRDefault="00755950" w:rsidP="00472F00">
            <w:pPr>
              <w:pStyle w:val="ListParagraph"/>
              <w:autoSpaceDE w:val="0"/>
              <w:autoSpaceDN w:val="0"/>
              <w:adjustRightInd w:val="0"/>
              <w:ind w:left="0"/>
              <w:contextualSpacing w:val="0"/>
              <w:jc w:val="center"/>
              <w:rPr>
                <w:b/>
                <w:color w:val="000000"/>
                <w:sz w:val="23"/>
                <w:szCs w:val="23"/>
              </w:rPr>
            </w:pPr>
            <w:r w:rsidRPr="00321C4C">
              <w:rPr>
                <w:b/>
                <w:color w:val="000000"/>
                <w:sz w:val="23"/>
                <w:szCs w:val="23"/>
              </w:rPr>
              <w:t>Exchange</w:t>
            </w:r>
          </w:p>
        </w:tc>
        <w:tc>
          <w:tcPr>
            <w:tcW w:w="2110" w:type="dxa"/>
          </w:tcPr>
          <w:p w14:paraId="39403565" w14:textId="77777777" w:rsidR="00755950" w:rsidRPr="00321C4C" w:rsidRDefault="00755950" w:rsidP="00472F00">
            <w:pPr>
              <w:pStyle w:val="ListParagraph"/>
              <w:autoSpaceDE w:val="0"/>
              <w:autoSpaceDN w:val="0"/>
              <w:adjustRightInd w:val="0"/>
              <w:ind w:left="0"/>
              <w:contextualSpacing w:val="0"/>
              <w:jc w:val="center"/>
              <w:rPr>
                <w:b/>
                <w:color w:val="000000"/>
                <w:sz w:val="23"/>
                <w:szCs w:val="23"/>
              </w:rPr>
            </w:pPr>
            <w:r w:rsidRPr="00321C4C">
              <w:rPr>
                <w:b/>
                <w:color w:val="000000"/>
                <w:sz w:val="23"/>
                <w:szCs w:val="23"/>
              </w:rPr>
              <w:t>Current status</w:t>
            </w:r>
          </w:p>
        </w:tc>
      </w:tr>
      <w:tr w:rsidR="00755950" w:rsidRPr="00321C4C" w14:paraId="3F0E8724" w14:textId="77777777" w:rsidTr="00472F00">
        <w:tc>
          <w:tcPr>
            <w:tcW w:w="2666" w:type="dxa"/>
          </w:tcPr>
          <w:p w14:paraId="02DC4976" w14:textId="77777777" w:rsidR="00755950" w:rsidRPr="00321C4C" w:rsidRDefault="00755950" w:rsidP="00472F00">
            <w:pPr>
              <w:pStyle w:val="ListParagraph"/>
              <w:autoSpaceDE w:val="0"/>
              <w:autoSpaceDN w:val="0"/>
              <w:adjustRightInd w:val="0"/>
              <w:ind w:left="0"/>
              <w:contextualSpacing w:val="0"/>
              <w:jc w:val="both"/>
              <w:rPr>
                <w:color w:val="000000"/>
                <w:sz w:val="23"/>
                <w:szCs w:val="23"/>
              </w:rPr>
            </w:pPr>
          </w:p>
        </w:tc>
        <w:tc>
          <w:tcPr>
            <w:tcW w:w="2263" w:type="dxa"/>
          </w:tcPr>
          <w:p w14:paraId="57FAD50F" w14:textId="77777777" w:rsidR="00755950" w:rsidRPr="00321C4C" w:rsidRDefault="00755950" w:rsidP="00472F00">
            <w:pPr>
              <w:pStyle w:val="ListParagraph"/>
              <w:autoSpaceDE w:val="0"/>
              <w:autoSpaceDN w:val="0"/>
              <w:adjustRightInd w:val="0"/>
              <w:ind w:left="0"/>
              <w:contextualSpacing w:val="0"/>
              <w:jc w:val="both"/>
              <w:rPr>
                <w:color w:val="000000"/>
                <w:sz w:val="23"/>
                <w:szCs w:val="23"/>
              </w:rPr>
            </w:pPr>
          </w:p>
        </w:tc>
        <w:tc>
          <w:tcPr>
            <w:tcW w:w="1771" w:type="dxa"/>
          </w:tcPr>
          <w:p w14:paraId="4CCC8C33" w14:textId="77777777" w:rsidR="00755950" w:rsidRPr="00321C4C" w:rsidRDefault="00755950" w:rsidP="00472F00">
            <w:pPr>
              <w:pStyle w:val="ListParagraph"/>
              <w:autoSpaceDE w:val="0"/>
              <w:autoSpaceDN w:val="0"/>
              <w:adjustRightInd w:val="0"/>
              <w:ind w:left="0"/>
              <w:contextualSpacing w:val="0"/>
              <w:jc w:val="both"/>
              <w:rPr>
                <w:color w:val="000000"/>
                <w:sz w:val="23"/>
                <w:szCs w:val="23"/>
              </w:rPr>
            </w:pPr>
          </w:p>
        </w:tc>
        <w:tc>
          <w:tcPr>
            <w:tcW w:w="2110" w:type="dxa"/>
          </w:tcPr>
          <w:p w14:paraId="5E2B52A6" w14:textId="77777777" w:rsidR="00755950" w:rsidRPr="00321C4C" w:rsidRDefault="00755950" w:rsidP="00472F00">
            <w:pPr>
              <w:pStyle w:val="ListParagraph"/>
              <w:autoSpaceDE w:val="0"/>
              <w:autoSpaceDN w:val="0"/>
              <w:adjustRightInd w:val="0"/>
              <w:ind w:left="0"/>
              <w:contextualSpacing w:val="0"/>
              <w:jc w:val="both"/>
              <w:rPr>
                <w:color w:val="000000"/>
                <w:sz w:val="23"/>
                <w:szCs w:val="23"/>
              </w:rPr>
            </w:pPr>
          </w:p>
        </w:tc>
      </w:tr>
    </w:tbl>
    <w:p w14:paraId="2B634BF1" w14:textId="77777777" w:rsidR="00755950" w:rsidRPr="00321C4C" w:rsidRDefault="00755950" w:rsidP="00755950">
      <w:pPr>
        <w:autoSpaceDE w:val="0"/>
        <w:autoSpaceDN w:val="0"/>
        <w:adjustRightInd w:val="0"/>
        <w:jc w:val="both"/>
        <w:rPr>
          <w:bdr w:val="none" w:sz="0" w:space="0" w:color="auto" w:frame="1"/>
          <w:shd w:val="clear" w:color="auto" w:fill="FFFFFF"/>
        </w:rPr>
      </w:pPr>
    </w:p>
    <w:p w14:paraId="1B652A8E" w14:textId="77777777" w:rsidR="00755950" w:rsidRPr="00321C4C" w:rsidRDefault="00755950" w:rsidP="00755950">
      <w:pPr>
        <w:pStyle w:val="ListParagraph"/>
        <w:numPr>
          <w:ilvl w:val="0"/>
          <w:numId w:val="2"/>
        </w:numPr>
        <w:autoSpaceDE w:val="0"/>
        <w:autoSpaceDN w:val="0"/>
        <w:adjustRightInd w:val="0"/>
        <w:spacing w:after="0" w:line="240" w:lineRule="auto"/>
        <w:ind w:left="567" w:hanging="357"/>
        <w:contextualSpacing w:val="0"/>
        <w:jc w:val="both"/>
      </w:pPr>
      <w:r w:rsidRPr="00321C4C">
        <w:t>there was no delay in listing of any of the preceding privately placed debt securities, beyond the timelines specified in SEBI Circular No SEBI/HO/DDHS/CIR/P/2020/198 dated October 5, 2020 and any amendment thereto;</w:t>
      </w:r>
    </w:p>
    <w:p w14:paraId="131E4070" w14:textId="77777777" w:rsidR="00755950" w:rsidRPr="00321C4C" w:rsidRDefault="00755950" w:rsidP="00755950">
      <w:pPr>
        <w:pStyle w:val="ListParagraph"/>
        <w:autoSpaceDE w:val="0"/>
        <w:autoSpaceDN w:val="0"/>
        <w:adjustRightInd w:val="0"/>
        <w:ind w:left="360"/>
        <w:jc w:val="both"/>
      </w:pPr>
    </w:p>
    <w:p w14:paraId="0A9ABAAB" w14:textId="77777777" w:rsidR="00755950" w:rsidRPr="00321C4C" w:rsidRDefault="00755950" w:rsidP="00755950">
      <w:pPr>
        <w:pStyle w:val="ListParagraph"/>
        <w:autoSpaceDE w:val="0"/>
        <w:autoSpaceDN w:val="0"/>
        <w:adjustRightInd w:val="0"/>
        <w:ind w:left="360" w:firstLine="180"/>
        <w:jc w:val="both"/>
      </w:pPr>
      <w:r w:rsidRPr="00321C4C">
        <w:t>OR</w:t>
      </w:r>
    </w:p>
    <w:p w14:paraId="6CF7EB84" w14:textId="77777777" w:rsidR="00755950" w:rsidRPr="00321C4C" w:rsidRDefault="00755950" w:rsidP="00755950">
      <w:pPr>
        <w:pStyle w:val="ListParagraph"/>
        <w:autoSpaceDE w:val="0"/>
        <w:autoSpaceDN w:val="0"/>
        <w:adjustRightInd w:val="0"/>
        <w:ind w:left="360"/>
        <w:jc w:val="both"/>
        <w:rPr>
          <w:bdr w:val="none" w:sz="0" w:space="0" w:color="auto" w:frame="1"/>
          <w:shd w:val="clear" w:color="auto" w:fill="FFFFFF"/>
        </w:rPr>
      </w:pPr>
    </w:p>
    <w:p w14:paraId="7E130609" w14:textId="77777777" w:rsidR="00755950" w:rsidRPr="00321C4C" w:rsidRDefault="00755950" w:rsidP="00755950">
      <w:pPr>
        <w:pStyle w:val="ListParagraph"/>
        <w:autoSpaceDE w:val="0"/>
        <w:autoSpaceDN w:val="0"/>
        <w:adjustRightInd w:val="0"/>
        <w:ind w:left="567"/>
        <w:contextualSpacing w:val="0"/>
        <w:jc w:val="both"/>
        <w:rPr>
          <w:bdr w:val="none" w:sz="0" w:space="0" w:color="auto" w:frame="1"/>
          <w:shd w:val="clear" w:color="auto" w:fill="FFFFFF"/>
        </w:rPr>
      </w:pPr>
      <w:r w:rsidRPr="00321C4C">
        <w:t>there was a delay in listing of the preceding privately placed debt securities, beyond the timelines</w:t>
      </w:r>
      <w:r w:rsidRPr="00321C4C">
        <w:rPr>
          <w:bdr w:val="none" w:sz="0" w:space="0" w:color="auto" w:frame="1"/>
          <w:shd w:val="clear" w:color="auto" w:fill="FFFFFF"/>
        </w:rPr>
        <w:t xml:space="preserve"> specified in SEBI Circular No. SEBI/HO/DDHS/CIR/P/2020/198 dated October 5, 2020</w:t>
      </w:r>
      <w:r w:rsidRPr="00321C4C">
        <w:t>and any amendment thereto</w:t>
      </w:r>
      <w:r w:rsidRPr="00321C4C">
        <w:rPr>
          <w:bdr w:val="none" w:sz="0" w:space="0" w:color="auto" w:frame="1"/>
          <w:shd w:val="clear" w:color="auto" w:fill="FFFFFF"/>
        </w:rPr>
        <w:t>, the details of which are given below. Accordingly, the Issuer shall not utilize the proceeds of this issue unless listing approval is received from the Stock Exchange/s, where the securities are proposed to be listed;</w:t>
      </w:r>
    </w:p>
    <w:p w14:paraId="3ADB7471" w14:textId="77777777" w:rsidR="00755950" w:rsidRPr="00321C4C" w:rsidRDefault="00755950" w:rsidP="00755950">
      <w:pPr>
        <w:pStyle w:val="ListParagraph"/>
        <w:autoSpaceDE w:val="0"/>
        <w:autoSpaceDN w:val="0"/>
        <w:adjustRightInd w:val="0"/>
        <w:ind w:left="540"/>
        <w:contextualSpacing w:val="0"/>
        <w:jc w:val="both"/>
        <w:rPr>
          <w:bdr w:val="none" w:sz="0" w:space="0" w:color="auto" w:frame="1"/>
          <w:shd w:val="clear" w:color="auto" w:fill="FFFFFF"/>
        </w:rPr>
      </w:pPr>
    </w:p>
    <w:tbl>
      <w:tblPr>
        <w:tblStyle w:val="TableGrid"/>
        <w:tblW w:w="0" w:type="auto"/>
        <w:tblInd w:w="540" w:type="dxa"/>
        <w:tblLook w:val="04A0" w:firstRow="1" w:lastRow="0" w:firstColumn="1" w:lastColumn="0" w:noHBand="0" w:noVBand="1"/>
      </w:tblPr>
      <w:tblGrid>
        <w:gridCol w:w="1996"/>
        <w:gridCol w:w="1275"/>
        <w:gridCol w:w="1131"/>
        <w:gridCol w:w="1271"/>
        <w:gridCol w:w="1837"/>
        <w:gridCol w:w="1273"/>
      </w:tblGrid>
      <w:tr w:rsidR="00755950" w:rsidRPr="00321C4C" w14:paraId="685782AB" w14:textId="77777777" w:rsidTr="00472F00">
        <w:tc>
          <w:tcPr>
            <w:tcW w:w="2007" w:type="dxa"/>
          </w:tcPr>
          <w:p w14:paraId="100EDF8E" w14:textId="77777777" w:rsidR="00755950" w:rsidRPr="00321C4C" w:rsidRDefault="00755950" w:rsidP="00472F00">
            <w:pPr>
              <w:pStyle w:val="ListParagraph"/>
              <w:autoSpaceDE w:val="0"/>
              <w:autoSpaceDN w:val="0"/>
              <w:adjustRightInd w:val="0"/>
              <w:ind w:left="0"/>
              <w:contextualSpacing w:val="0"/>
              <w:jc w:val="center"/>
              <w:rPr>
                <w:b/>
                <w:bdr w:val="none" w:sz="0" w:space="0" w:color="auto" w:frame="1"/>
                <w:shd w:val="clear" w:color="auto" w:fill="FFFFFF"/>
              </w:rPr>
            </w:pPr>
            <w:r w:rsidRPr="00321C4C">
              <w:rPr>
                <w:b/>
                <w:bdr w:val="none" w:sz="0" w:space="0" w:color="auto" w:frame="1"/>
                <w:shd w:val="clear" w:color="auto" w:fill="FFFFFF"/>
              </w:rPr>
              <w:t>ISIN</w:t>
            </w:r>
          </w:p>
        </w:tc>
        <w:tc>
          <w:tcPr>
            <w:tcW w:w="1276" w:type="dxa"/>
          </w:tcPr>
          <w:p w14:paraId="25A30F86" w14:textId="77777777" w:rsidR="00755950" w:rsidRPr="00321C4C" w:rsidRDefault="00755950" w:rsidP="00472F00">
            <w:pPr>
              <w:pStyle w:val="ListParagraph"/>
              <w:autoSpaceDE w:val="0"/>
              <w:autoSpaceDN w:val="0"/>
              <w:adjustRightInd w:val="0"/>
              <w:ind w:left="0"/>
              <w:contextualSpacing w:val="0"/>
              <w:jc w:val="center"/>
              <w:rPr>
                <w:b/>
                <w:bdr w:val="none" w:sz="0" w:space="0" w:color="auto" w:frame="1"/>
                <w:shd w:val="clear" w:color="auto" w:fill="FFFFFF"/>
              </w:rPr>
            </w:pPr>
            <w:r w:rsidRPr="00321C4C">
              <w:rPr>
                <w:b/>
                <w:bdr w:val="none" w:sz="0" w:space="0" w:color="auto" w:frame="1"/>
                <w:shd w:val="clear" w:color="auto" w:fill="FFFFFF"/>
              </w:rPr>
              <w:t>Date of Allotment</w:t>
            </w:r>
          </w:p>
        </w:tc>
        <w:tc>
          <w:tcPr>
            <w:tcW w:w="1134" w:type="dxa"/>
          </w:tcPr>
          <w:p w14:paraId="7B973F59" w14:textId="77777777" w:rsidR="00755950" w:rsidRPr="00321C4C" w:rsidRDefault="00755950" w:rsidP="00472F00">
            <w:pPr>
              <w:pStyle w:val="ListParagraph"/>
              <w:autoSpaceDE w:val="0"/>
              <w:autoSpaceDN w:val="0"/>
              <w:adjustRightInd w:val="0"/>
              <w:ind w:left="0"/>
              <w:contextualSpacing w:val="0"/>
              <w:jc w:val="center"/>
              <w:rPr>
                <w:b/>
                <w:bdr w:val="none" w:sz="0" w:space="0" w:color="auto" w:frame="1"/>
                <w:shd w:val="clear" w:color="auto" w:fill="FFFFFF"/>
              </w:rPr>
            </w:pPr>
            <w:r w:rsidRPr="00321C4C">
              <w:rPr>
                <w:b/>
                <w:bdr w:val="none" w:sz="0" w:space="0" w:color="auto" w:frame="1"/>
                <w:shd w:val="clear" w:color="auto" w:fill="FFFFFF"/>
              </w:rPr>
              <w:t>Date of Listing</w:t>
            </w:r>
          </w:p>
        </w:tc>
        <w:tc>
          <w:tcPr>
            <w:tcW w:w="1275" w:type="dxa"/>
          </w:tcPr>
          <w:p w14:paraId="746637F5" w14:textId="77777777" w:rsidR="00755950" w:rsidRPr="00321C4C" w:rsidRDefault="00755950" w:rsidP="00472F00">
            <w:pPr>
              <w:pStyle w:val="ListParagraph"/>
              <w:autoSpaceDE w:val="0"/>
              <w:autoSpaceDN w:val="0"/>
              <w:adjustRightInd w:val="0"/>
              <w:ind w:left="0"/>
              <w:contextualSpacing w:val="0"/>
              <w:jc w:val="center"/>
              <w:rPr>
                <w:b/>
                <w:bdr w:val="none" w:sz="0" w:space="0" w:color="auto" w:frame="1"/>
                <w:shd w:val="clear" w:color="auto" w:fill="FFFFFF"/>
              </w:rPr>
            </w:pPr>
            <w:r w:rsidRPr="00321C4C">
              <w:rPr>
                <w:b/>
                <w:bdr w:val="none" w:sz="0" w:space="0" w:color="auto" w:frame="1"/>
                <w:shd w:val="clear" w:color="auto" w:fill="FFFFFF"/>
              </w:rPr>
              <w:t>Period of Delay (in days)</w:t>
            </w:r>
          </w:p>
        </w:tc>
        <w:tc>
          <w:tcPr>
            <w:tcW w:w="1843" w:type="dxa"/>
          </w:tcPr>
          <w:p w14:paraId="107DB14F" w14:textId="77777777" w:rsidR="00755950" w:rsidRPr="00321C4C" w:rsidRDefault="00755950" w:rsidP="00472F00">
            <w:pPr>
              <w:pStyle w:val="ListParagraph"/>
              <w:autoSpaceDE w:val="0"/>
              <w:autoSpaceDN w:val="0"/>
              <w:adjustRightInd w:val="0"/>
              <w:ind w:left="0"/>
              <w:contextualSpacing w:val="0"/>
              <w:jc w:val="center"/>
              <w:rPr>
                <w:b/>
                <w:bdr w:val="none" w:sz="0" w:space="0" w:color="auto" w:frame="1"/>
                <w:shd w:val="clear" w:color="auto" w:fill="FFFFFF"/>
              </w:rPr>
            </w:pPr>
            <w:r w:rsidRPr="00321C4C">
              <w:rPr>
                <w:b/>
              </w:rPr>
              <w:t>Whether Penal interest has been paid to investor?</w:t>
            </w:r>
          </w:p>
        </w:tc>
        <w:tc>
          <w:tcPr>
            <w:tcW w:w="1275" w:type="dxa"/>
          </w:tcPr>
          <w:p w14:paraId="4107EE8E" w14:textId="77777777" w:rsidR="00755950" w:rsidRPr="00321C4C" w:rsidRDefault="00755950" w:rsidP="00472F00">
            <w:pPr>
              <w:pStyle w:val="ListParagraph"/>
              <w:autoSpaceDE w:val="0"/>
              <w:autoSpaceDN w:val="0"/>
              <w:adjustRightInd w:val="0"/>
              <w:ind w:left="0"/>
              <w:contextualSpacing w:val="0"/>
              <w:jc w:val="center"/>
              <w:rPr>
                <w:b/>
              </w:rPr>
            </w:pPr>
            <w:r w:rsidRPr="00321C4C">
              <w:rPr>
                <w:b/>
              </w:rPr>
              <w:t>Remarks</w:t>
            </w:r>
          </w:p>
        </w:tc>
      </w:tr>
      <w:tr w:rsidR="00755950" w:rsidRPr="00321C4C" w14:paraId="5DA04794" w14:textId="77777777" w:rsidTr="00472F00">
        <w:tc>
          <w:tcPr>
            <w:tcW w:w="2007" w:type="dxa"/>
          </w:tcPr>
          <w:p w14:paraId="003CC619" w14:textId="77777777" w:rsidR="00755950" w:rsidRPr="00321C4C" w:rsidRDefault="00755950" w:rsidP="00472F00">
            <w:pPr>
              <w:pStyle w:val="ListParagraph"/>
              <w:autoSpaceDE w:val="0"/>
              <w:autoSpaceDN w:val="0"/>
              <w:adjustRightInd w:val="0"/>
              <w:ind w:left="0"/>
              <w:contextualSpacing w:val="0"/>
              <w:jc w:val="center"/>
              <w:rPr>
                <w:b/>
                <w:bdr w:val="none" w:sz="0" w:space="0" w:color="auto" w:frame="1"/>
                <w:shd w:val="clear" w:color="auto" w:fill="FFFFFF"/>
              </w:rPr>
            </w:pPr>
          </w:p>
        </w:tc>
        <w:tc>
          <w:tcPr>
            <w:tcW w:w="1276" w:type="dxa"/>
          </w:tcPr>
          <w:p w14:paraId="368856BE" w14:textId="77777777" w:rsidR="00755950" w:rsidRPr="00321C4C" w:rsidRDefault="00755950" w:rsidP="00472F00">
            <w:pPr>
              <w:pStyle w:val="ListParagraph"/>
              <w:autoSpaceDE w:val="0"/>
              <w:autoSpaceDN w:val="0"/>
              <w:adjustRightInd w:val="0"/>
              <w:ind w:left="0"/>
              <w:contextualSpacing w:val="0"/>
              <w:jc w:val="center"/>
              <w:rPr>
                <w:b/>
                <w:bdr w:val="none" w:sz="0" w:space="0" w:color="auto" w:frame="1"/>
                <w:shd w:val="clear" w:color="auto" w:fill="FFFFFF"/>
              </w:rPr>
            </w:pPr>
          </w:p>
        </w:tc>
        <w:tc>
          <w:tcPr>
            <w:tcW w:w="1134" w:type="dxa"/>
          </w:tcPr>
          <w:p w14:paraId="27749091" w14:textId="77777777" w:rsidR="00755950" w:rsidRPr="00321C4C" w:rsidRDefault="00755950" w:rsidP="00472F00">
            <w:pPr>
              <w:pStyle w:val="ListParagraph"/>
              <w:autoSpaceDE w:val="0"/>
              <w:autoSpaceDN w:val="0"/>
              <w:adjustRightInd w:val="0"/>
              <w:ind w:left="0"/>
              <w:contextualSpacing w:val="0"/>
              <w:jc w:val="center"/>
              <w:rPr>
                <w:b/>
                <w:bdr w:val="none" w:sz="0" w:space="0" w:color="auto" w:frame="1"/>
                <w:shd w:val="clear" w:color="auto" w:fill="FFFFFF"/>
              </w:rPr>
            </w:pPr>
          </w:p>
        </w:tc>
        <w:tc>
          <w:tcPr>
            <w:tcW w:w="1275" w:type="dxa"/>
          </w:tcPr>
          <w:p w14:paraId="3DDACEDC" w14:textId="77777777" w:rsidR="00755950" w:rsidRPr="00321C4C" w:rsidRDefault="00755950" w:rsidP="00472F00">
            <w:pPr>
              <w:pStyle w:val="ListParagraph"/>
              <w:autoSpaceDE w:val="0"/>
              <w:autoSpaceDN w:val="0"/>
              <w:adjustRightInd w:val="0"/>
              <w:ind w:left="0"/>
              <w:contextualSpacing w:val="0"/>
              <w:jc w:val="center"/>
              <w:rPr>
                <w:b/>
                <w:bdr w:val="none" w:sz="0" w:space="0" w:color="auto" w:frame="1"/>
                <w:shd w:val="clear" w:color="auto" w:fill="FFFFFF"/>
              </w:rPr>
            </w:pPr>
          </w:p>
        </w:tc>
        <w:tc>
          <w:tcPr>
            <w:tcW w:w="1843" w:type="dxa"/>
          </w:tcPr>
          <w:p w14:paraId="0E3EB301" w14:textId="77777777" w:rsidR="00755950" w:rsidRPr="00321C4C" w:rsidRDefault="00755950" w:rsidP="00472F00">
            <w:pPr>
              <w:pStyle w:val="ListParagraph"/>
              <w:autoSpaceDE w:val="0"/>
              <w:autoSpaceDN w:val="0"/>
              <w:adjustRightInd w:val="0"/>
              <w:ind w:left="0"/>
              <w:contextualSpacing w:val="0"/>
              <w:jc w:val="center"/>
              <w:rPr>
                <w:b/>
              </w:rPr>
            </w:pPr>
          </w:p>
        </w:tc>
        <w:tc>
          <w:tcPr>
            <w:tcW w:w="1275" w:type="dxa"/>
          </w:tcPr>
          <w:p w14:paraId="1665E21E" w14:textId="77777777" w:rsidR="00755950" w:rsidRPr="00321C4C" w:rsidRDefault="00755950" w:rsidP="00472F00">
            <w:pPr>
              <w:pStyle w:val="ListParagraph"/>
              <w:autoSpaceDE w:val="0"/>
              <w:autoSpaceDN w:val="0"/>
              <w:adjustRightInd w:val="0"/>
              <w:ind w:left="0"/>
              <w:contextualSpacing w:val="0"/>
              <w:jc w:val="center"/>
              <w:rPr>
                <w:b/>
              </w:rPr>
            </w:pPr>
          </w:p>
        </w:tc>
      </w:tr>
      <w:tr w:rsidR="00755950" w:rsidRPr="00321C4C" w14:paraId="4BBCD647" w14:textId="77777777" w:rsidTr="00472F00">
        <w:tc>
          <w:tcPr>
            <w:tcW w:w="2007" w:type="dxa"/>
          </w:tcPr>
          <w:p w14:paraId="68E6D8D2" w14:textId="77777777" w:rsidR="00755950" w:rsidRPr="00321C4C" w:rsidRDefault="00755950" w:rsidP="00472F00">
            <w:pPr>
              <w:pStyle w:val="ListParagraph"/>
              <w:autoSpaceDE w:val="0"/>
              <w:autoSpaceDN w:val="0"/>
              <w:adjustRightInd w:val="0"/>
              <w:ind w:left="0"/>
              <w:contextualSpacing w:val="0"/>
              <w:jc w:val="center"/>
              <w:rPr>
                <w:b/>
                <w:bdr w:val="none" w:sz="0" w:space="0" w:color="auto" w:frame="1"/>
                <w:shd w:val="clear" w:color="auto" w:fill="FFFFFF"/>
              </w:rPr>
            </w:pPr>
          </w:p>
        </w:tc>
        <w:tc>
          <w:tcPr>
            <w:tcW w:w="1276" w:type="dxa"/>
          </w:tcPr>
          <w:p w14:paraId="7B18EB3E" w14:textId="77777777" w:rsidR="00755950" w:rsidRPr="00321C4C" w:rsidRDefault="00755950" w:rsidP="00472F00">
            <w:pPr>
              <w:pStyle w:val="ListParagraph"/>
              <w:autoSpaceDE w:val="0"/>
              <w:autoSpaceDN w:val="0"/>
              <w:adjustRightInd w:val="0"/>
              <w:ind w:left="0"/>
              <w:contextualSpacing w:val="0"/>
              <w:jc w:val="center"/>
              <w:rPr>
                <w:b/>
                <w:bdr w:val="none" w:sz="0" w:space="0" w:color="auto" w:frame="1"/>
                <w:shd w:val="clear" w:color="auto" w:fill="FFFFFF"/>
              </w:rPr>
            </w:pPr>
          </w:p>
        </w:tc>
        <w:tc>
          <w:tcPr>
            <w:tcW w:w="1134" w:type="dxa"/>
          </w:tcPr>
          <w:p w14:paraId="0605AC80" w14:textId="77777777" w:rsidR="00755950" w:rsidRPr="00321C4C" w:rsidRDefault="00755950" w:rsidP="00472F00">
            <w:pPr>
              <w:pStyle w:val="ListParagraph"/>
              <w:autoSpaceDE w:val="0"/>
              <w:autoSpaceDN w:val="0"/>
              <w:adjustRightInd w:val="0"/>
              <w:ind w:left="0"/>
              <w:contextualSpacing w:val="0"/>
              <w:jc w:val="center"/>
              <w:rPr>
                <w:b/>
                <w:bdr w:val="none" w:sz="0" w:space="0" w:color="auto" w:frame="1"/>
                <w:shd w:val="clear" w:color="auto" w:fill="FFFFFF"/>
              </w:rPr>
            </w:pPr>
          </w:p>
        </w:tc>
        <w:tc>
          <w:tcPr>
            <w:tcW w:w="1275" w:type="dxa"/>
          </w:tcPr>
          <w:p w14:paraId="22B77176" w14:textId="77777777" w:rsidR="00755950" w:rsidRPr="00321C4C" w:rsidRDefault="00755950" w:rsidP="00472F00">
            <w:pPr>
              <w:pStyle w:val="ListParagraph"/>
              <w:autoSpaceDE w:val="0"/>
              <w:autoSpaceDN w:val="0"/>
              <w:adjustRightInd w:val="0"/>
              <w:ind w:left="0"/>
              <w:contextualSpacing w:val="0"/>
              <w:jc w:val="center"/>
              <w:rPr>
                <w:b/>
                <w:bdr w:val="none" w:sz="0" w:space="0" w:color="auto" w:frame="1"/>
                <w:shd w:val="clear" w:color="auto" w:fill="FFFFFF"/>
              </w:rPr>
            </w:pPr>
          </w:p>
        </w:tc>
        <w:tc>
          <w:tcPr>
            <w:tcW w:w="1843" w:type="dxa"/>
          </w:tcPr>
          <w:p w14:paraId="72886FDD" w14:textId="77777777" w:rsidR="00755950" w:rsidRPr="00321C4C" w:rsidRDefault="00755950" w:rsidP="00472F00">
            <w:pPr>
              <w:pStyle w:val="ListParagraph"/>
              <w:autoSpaceDE w:val="0"/>
              <w:autoSpaceDN w:val="0"/>
              <w:adjustRightInd w:val="0"/>
              <w:ind w:left="0"/>
              <w:contextualSpacing w:val="0"/>
              <w:jc w:val="center"/>
              <w:rPr>
                <w:b/>
              </w:rPr>
            </w:pPr>
          </w:p>
        </w:tc>
        <w:tc>
          <w:tcPr>
            <w:tcW w:w="1275" w:type="dxa"/>
          </w:tcPr>
          <w:p w14:paraId="773873BB" w14:textId="77777777" w:rsidR="00755950" w:rsidRPr="00321C4C" w:rsidRDefault="00755950" w:rsidP="00472F00">
            <w:pPr>
              <w:pStyle w:val="ListParagraph"/>
              <w:autoSpaceDE w:val="0"/>
              <w:autoSpaceDN w:val="0"/>
              <w:adjustRightInd w:val="0"/>
              <w:ind w:left="0"/>
              <w:contextualSpacing w:val="0"/>
              <w:jc w:val="center"/>
              <w:rPr>
                <w:b/>
              </w:rPr>
            </w:pPr>
          </w:p>
        </w:tc>
      </w:tr>
    </w:tbl>
    <w:p w14:paraId="267539B0" w14:textId="77777777" w:rsidR="00755950" w:rsidRPr="00321C4C" w:rsidRDefault="00755950" w:rsidP="00755950">
      <w:pPr>
        <w:autoSpaceDE w:val="0"/>
        <w:autoSpaceDN w:val="0"/>
        <w:adjustRightInd w:val="0"/>
        <w:jc w:val="both"/>
        <w:rPr>
          <w:bdr w:val="none" w:sz="0" w:space="0" w:color="auto" w:frame="1"/>
          <w:shd w:val="clear" w:color="auto" w:fill="FFFFFF"/>
        </w:rPr>
      </w:pPr>
    </w:p>
    <w:p w14:paraId="7A32CAE2" w14:textId="77777777" w:rsidR="00755950" w:rsidRPr="00321C4C" w:rsidRDefault="00755950" w:rsidP="00755950">
      <w:pPr>
        <w:pStyle w:val="ListParagraph"/>
        <w:numPr>
          <w:ilvl w:val="0"/>
          <w:numId w:val="2"/>
        </w:numPr>
        <w:autoSpaceDE w:val="0"/>
        <w:autoSpaceDN w:val="0"/>
        <w:adjustRightInd w:val="0"/>
        <w:spacing w:after="0" w:line="240" w:lineRule="auto"/>
        <w:ind w:left="567" w:hanging="357"/>
        <w:contextualSpacing w:val="0"/>
        <w:jc w:val="both"/>
      </w:pPr>
      <w:r w:rsidRPr="00321C4C">
        <w:t xml:space="preserve">the Draft Disclosure Document contains all the disclosures as required under SEBI (Issue and Listing of Debt Securities) Regulations, 2008 / SEBI (Issue and Listing of Non-Convertible Redeemable Preference Shares) Regulations, 2013, applicable SEBI &amp; Exchange Circulars/Guidelines [including SEBI Circular No. SEBI/HO/DDHS/CIR/P/2020/199 dated October 6, 2020 and NSE Circular No. NSE/CML/2020/22 dated December 23, 2020, applicable in case of AT1 Instruments/Tier 2 instruments having features similar to AT1 instruments], Companies Act, 2013 and the rules made thereunder and other applicable laws in this regard, as amended from time to time;  </w:t>
      </w:r>
    </w:p>
    <w:p w14:paraId="099E37EA" w14:textId="77777777" w:rsidR="00755950" w:rsidRPr="00321C4C" w:rsidRDefault="00755950" w:rsidP="00755950">
      <w:pPr>
        <w:pStyle w:val="ListParagraph"/>
        <w:autoSpaceDE w:val="0"/>
        <w:autoSpaceDN w:val="0"/>
        <w:adjustRightInd w:val="0"/>
        <w:ind w:left="567"/>
        <w:contextualSpacing w:val="0"/>
        <w:jc w:val="both"/>
        <w:rPr>
          <w:i/>
          <w:sz w:val="6"/>
        </w:rPr>
      </w:pPr>
    </w:p>
    <w:p w14:paraId="15D3D092" w14:textId="77777777" w:rsidR="00755950" w:rsidRPr="00321C4C" w:rsidRDefault="00755950" w:rsidP="00755950">
      <w:pPr>
        <w:pStyle w:val="ListParagraph"/>
        <w:autoSpaceDE w:val="0"/>
        <w:autoSpaceDN w:val="0"/>
        <w:adjustRightInd w:val="0"/>
        <w:ind w:left="567"/>
        <w:contextualSpacing w:val="0"/>
        <w:jc w:val="both"/>
        <w:rPr>
          <w:i/>
        </w:rPr>
      </w:pPr>
      <w:r w:rsidRPr="00321C4C">
        <w:rPr>
          <w:i/>
        </w:rPr>
        <w:t>(Refer Annexure in case of AT1 Instruments/Tier 2 instruments having features similar to AT1 instruments)</w:t>
      </w:r>
    </w:p>
    <w:p w14:paraId="79F52C3B" w14:textId="77777777" w:rsidR="00755950" w:rsidRPr="00321C4C" w:rsidRDefault="00755950" w:rsidP="00755950">
      <w:pPr>
        <w:pStyle w:val="ListParagraph"/>
        <w:autoSpaceDE w:val="0"/>
        <w:autoSpaceDN w:val="0"/>
        <w:adjustRightInd w:val="0"/>
        <w:ind w:left="567"/>
        <w:contextualSpacing w:val="0"/>
        <w:jc w:val="both"/>
        <w:rPr>
          <w:i/>
        </w:rPr>
      </w:pPr>
    </w:p>
    <w:p w14:paraId="4DAEC04E" w14:textId="77777777" w:rsidR="00755950" w:rsidRPr="00321C4C" w:rsidRDefault="00755950" w:rsidP="00755950">
      <w:pPr>
        <w:pStyle w:val="ListParagraph"/>
        <w:numPr>
          <w:ilvl w:val="0"/>
          <w:numId w:val="2"/>
        </w:numPr>
        <w:autoSpaceDE w:val="0"/>
        <w:autoSpaceDN w:val="0"/>
        <w:adjustRightInd w:val="0"/>
        <w:spacing w:after="0" w:line="240" w:lineRule="auto"/>
        <w:ind w:left="567" w:hanging="357"/>
        <w:contextualSpacing w:val="0"/>
        <w:jc w:val="both"/>
      </w:pPr>
      <w:r w:rsidRPr="00321C4C">
        <w:lastRenderedPageBreak/>
        <w:t>the issue shall be in compliance with all the provisions of SEBI (Issue and Listing of Debt Securities) Regulations, 2008 / SEBI (Issue and Listing of Non-Convertible Redeemable Preference Shares) Regulations, 2013 as amended from time to time, applicable SEBI &amp; Exchange Circulars/Guidelines [including SEBI Circular No. SEBI/HO/DDHS/CIR/P/2020/199 dated October 6, 2020 and NSE Circular No. NSE/CML/2020/22 dated December 23, 2020, applicable in case of AT1 Instruments/ Tier 2 instruments having features similar to AT1 instruments], Companies Act, 2013 and the rules prescribed thereunder and other applicable laws with respect to issue and listing of captioned instruments.</w:t>
      </w:r>
    </w:p>
    <w:p w14:paraId="44144754" w14:textId="77777777" w:rsidR="00755950" w:rsidRPr="00321C4C" w:rsidRDefault="00755950" w:rsidP="00755950">
      <w:pPr>
        <w:pStyle w:val="ListParagraph"/>
        <w:autoSpaceDE w:val="0"/>
        <w:autoSpaceDN w:val="0"/>
        <w:adjustRightInd w:val="0"/>
        <w:ind w:left="567"/>
        <w:contextualSpacing w:val="0"/>
        <w:jc w:val="both"/>
      </w:pPr>
    </w:p>
    <w:p w14:paraId="590136EF" w14:textId="77777777" w:rsidR="00755950" w:rsidRPr="00321C4C" w:rsidRDefault="00755950" w:rsidP="00755950">
      <w:pPr>
        <w:jc w:val="right"/>
      </w:pPr>
    </w:p>
    <w:p w14:paraId="1EA54B5D" w14:textId="77777777" w:rsidR="00755950" w:rsidRPr="00321C4C" w:rsidRDefault="00755950" w:rsidP="00755950">
      <w:pPr>
        <w:jc w:val="right"/>
      </w:pPr>
      <w:r w:rsidRPr="00321C4C">
        <w:t xml:space="preserve">Yours faithfully, </w:t>
      </w:r>
    </w:p>
    <w:p w14:paraId="4648EEC6" w14:textId="77777777" w:rsidR="00755950" w:rsidRPr="00321C4C" w:rsidRDefault="00755950" w:rsidP="00755950">
      <w:pPr>
        <w:jc w:val="right"/>
      </w:pPr>
    </w:p>
    <w:p w14:paraId="76FD0069" w14:textId="77777777" w:rsidR="00755950" w:rsidRPr="00321C4C" w:rsidRDefault="00755950" w:rsidP="00755950">
      <w:pPr>
        <w:jc w:val="right"/>
      </w:pPr>
    </w:p>
    <w:p w14:paraId="6305BE38" w14:textId="77777777" w:rsidR="00755950" w:rsidRPr="00321C4C" w:rsidRDefault="00755950" w:rsidP="00755950">
      <w:pPr>
        <w:jc w:val="right"/>
      </w:pPr>
      <w:r w:rsidRPr="00321C4C">
        <w:t>(Name and Designation)</w:t>
      </w:r>
    </w:p>
    <w:p w14:paraId="6E5F50C5" w14:textId="77777777" w:rsidR="00755950" w:rsidRPr="00321C4C" w:rsidRDefault="00755950" w:rsidP="00755950">
      <w:pPr>
        <w:rPr>
          <w:b/>
          <w:bCs/>
          <w:lang w:eastAsia="en-IN"/>
        </w:rPr>
      </w:pPr>
    </w:p>
    <w:p w14:paraId="59AA7B05" w14:textId="77777777" w:rsidR="00755950" w:rsidRPr="00321C4C" w:rsidRDefault="00755950" w:rsidP="00755950">
      <w:pPr>
        <w:pStyle w:val="NoSpacing"/>
        <w:jc w:val="both"/>
        <w:rPr>
          <w:rFonts w:ascii="Times New Roman" w:hAnsi="Times New Roman" w:cs="Times New Roman"/>
          <w:i/>
        </w:rPr>
      </w:pPr>
    </w:p>
    <w:p w14:paraId="7C3E468E" w14:textId="77777777" w:rsidR="00755950" w:rsidRPr="00321C4C" w:rsidRDefault="00755950" w:rsidP="00755950">
      <w:pPr>
        <w:pStyle w:val="NoSpacing"/>
        <w:jc w:val="both"/>
        <w:rPr>
          <w:rFonts w:ascii="Times New Roman" w:hAnsi="Times New Roman" w:cs="Times New Roman"/>
          <w:b/>
        </w:rPr>
      </w:pPr>
      <w:r w:rsidRPr="00321C4C">
        <w:rPr>
          <w:rFonts w:ascii="Times New Roman" w:hAnsi="Times New Roman" w:cs="Times New Roman"/>
          <w:i/>
        </w:rPr>
        <w:t>Note: Strike off whichever clause is not applicable and indicate the reasons for non-applicability.</w:t>
      </w:r>
    </w:p>
    <w:p w14:paraId="34126AE6" w14:textId="51609F28" w:rsidR="00D66914" w:rsidRDefault="00564634" w:rsidP="00755950">
      <w:pPr>
        <w:jc w:val="center"/>
      </w:pPr>
    </w:p>
    <w:p w14:paraId="23B06982" w14:textId="77777777" w:rsidR="00564634" w:rsidRDefault="00564634" w:rsidP="00755950">
      <w:pPr>
        <w:jc w:val="center"/>
      </w:pPr>
    </w:p>
    <w:p w14:paraId="41CC77AB" w14:textId="5C17B3FC" w:rsidR="00564634" w:rsidRDefault="00564634">
      <w:r>
        <w:br w:type="page"/>
      </w:r>
    </w:p>
    <w:p w14:paraId="1460B4B9" w14:textId="2AED6121" w:rsidR="00564634" w:rsidRDefault="00564634" w:rsidP="00755950">
      <w:pPr>
        <w:jc w:val="center"/>
        <w:rPr>
          <w:shd w:val="clear" w:color="auto" w:fill="FFFFFF"/>
        </w:rPr>
      </w:pPr>
      <w:r>
        <w:rPr>
          <w:shd w:val="clear" w:color="auto" w:fill="FFFFFF"/>
        </w:rPr>
        <w:lastRenderedPageBreak/>
        <w:t>Annexure</w:t>
      </w:r>
    </w:p>
    <w:p w14:paraId="6FB3EEC0" w14:textId="77EBD5D4" w:rsidR="00564634" w:rsidRDefault="00564634" w:rsidP="00755950">
      <w:pPr>
        <w:jc w:val="center"/>
        <w:rPr>
          <w:shd w:val="clear" w:color="auto" w:fill="FFFFFF"/>
        </w:rPr>
      </w:pPr>
      <w:r>
        <w:rPr>
          <w:shd w:val="clear" w:color="auto" w:fill="FFFFFF"/>
        </w:rPr>
        <w:t>(Applicable in case of AT1 Instruments/Tier 2 instruments having features similar to AT1 instruments)</w:t>
      </w:r>
    </w:p>
    <w:tbl>
      <w:tblPr>
        <w:tblStyle w:val="TableGrid"/>
        <w:tblW w:w="0" w:type="auto"/>
        <w:tblLook w:val="04A0" w:firstRow="1" w:lastRow="0" w:firstColumn="1" w:lastColumn="0" w:noHBand="0" w:noVBand="1"/>
      </w:tblPr>
      <w:tblGrid>
        <w:gridCol w:w="6799"/>
        <w:gridCol w:w="2524"/>
      </w:tblGrid>
      <w:tr w:rsidR="00564634" w14:paraId="0E8780B3" w14:textId="77777777" w:rsidTr="00564634">
        <w:tc>
          <w:tcPr>
            <w:tcW w:w="6799" w:type="dxa"/>
          </w:tcPr>
          <w:p w14:paraId="232E6F9C" w14:textId="3467EF7E" w:rsidR="00564634" w:rsidRPr="00564634" w:rsidRDefault="00564634" w:rsidP="00755950">
            <w:pPr>
              <w:jc w:val="center"/>
              <w:rPr>
                <w:b/>
              </w:rPr>
            </w:pPr>
            <w:r w:rsidRPr="00564634">
              <w:rPr>
                <w:b/>
                <w:shd w:val="clear" w:color="auto" w:fill="FFFFFF"/>
              </w:rPr>
              <w:t>Disclosures</w:t>
            </w:r>
          </w:p>
        </w:tc>
        <w:tc>
          <w:tcPr>
            <w:tcW w:w="2524" w:type="dxa"/>
          </w:tcPr>
          <w:p w14:paraId="477C81AC" w14:textId="27AD05EC" w:rsidR="00564634" w:rsidRPr="00564634" w:rsidRDefault="00564634" w:rsidP="00755950">
            <w:pPr>
              <w:jc w:val="center"/>
              <w:rPr>
                <w:b/>
              </w:rPr>
            </w:pPr>
            <w:r w:rsidRPr="00564634">
              <w:rPr>
                <w:b/>
                <w:bdr w:val="none" w:sz="0" w:space="0" w:color="auto" w:frame="1"/>
                <w:shd w:val="clear" w:color="auto" w:fill="FFFFFF"/>
              </w:rPr>
              <w:t>Page no. in Disclosure Document</w:t>
            </w:r>
          </w:p>
        </w:tc>
      </w:tr>
      <w:tr w:rsidR="00564634" w14:paraId="3C8E9F7F" w14:textId="77777777" w:rsidTr="00564634">
        <w:tc>
          <w:tcPr>
            <w:tcW w:w="6799" w:type="dxa"/>
          </w:tcPr>
          <w:p w14:paraId="7F610500" w14:textId="2D50DA3E" w:rsidR="00564634" w:rsidRDefault="00564634" w:rsidP="00564634">
            <w:pPr>
              <w:jc w:val="both"/>
            </w:pPr>
            <w:r>
              <w:rPr>
                <w:bdr w:val="none" w:sz="0" w:space="0" w:color="auto" w:frame="1"/>
                <w:shd w:val="clear" w:color="auto" w:fill="FFFFFF"/>
              </w:rPr>
              <w:t>Details of all the conditions upon which the call option will be exercised for such instruments, in the Information /Private Placement Memorandum.</w:t>
            </w:r>
          </w:p>
        </w:tc>
        <w:tc>
          <w:tcPr>
            <w:tcW w:w="2524" w:type="dxa"/>
          </w:tcPr>
          <w:p w14:paraId="4809D71F" w14:textId="77777777" w:rsidR="00564634" w:rsidRDefault="00564634" w:rsidP="00755950">
            <w:pPr>
              <w:jc w:val="center"/>
            </w:pPr>
          </w:p>
        </w:tc>
      </w:tr>
      <w:tr w:rsidR="00564634" w14:paraId="163F1CB6" w14:textId="77777777" w:rsidTr="00564634">
        <w:tc>
          <w:tcPr>
            <w:tcW w:w="6799" w:type="dxa"/>
          </w:tcPr>
          <w:p w14:paraId="46899FCE" w14:textId="7577EC38" w:rsidR="00564634" w:rsidRDefault="00564634" w:rsidP="00564634">
            <w:pPr>
              <w:jc w:val="both"/>
            </w:pPr>
            <w:r>
              <w:rPr>
                <w:bdr w:val="none" w:sz="0" w:space="0" w:color="auto" w:frame="1"/>
                <w:shd w:val="clear" w:color="auto" w:fill="FFFFFF"/>
              </w:rPr>
              <w:t>Risk factors, to include all the inherent features of these instruments which, inter-alia, grant the issuer (i.e. banks, in consultation with RBI) a discretion in terms of writing down the principal / interest, to skip interest payments, to make an early recall etc. without commensurate right for investors to legal recourse, even if such actions of the issuer might result in potential loss to investors</w:t>
            </w:r>
          </w:p>
        </w:tc>
        <w:tc>
          <w:tcPr>
            <w:tcW w:w="2524" w:type="dxa"/>
          </w:tcPr>
          <w:p w14:paraId="28C4856B" w14:textId="77777777" w:rsidR="00564634" w:rsidRDefault="00564634" w:rsidP="00755950">
            <w:pPr>
              <w:jc w:val="center"/>
            </w:pPr>
          </w:p>
        </w:tc>
      </w:tr>
      <w:tr w:rsidR="00564634" w14:paraId="584D3FE8" w14:textId="77777777" w:rsidTr="00564634">
        <w:tc>
          <w:tcPr>
            <w:tcW w:w="6799" w:type="dxa"/>
          </w:tcPr>
          <w:p w14:paraId="0E3D267F" w14:textId="3ED123C2" w:rsidR="00564634" w:rsidRDefault="00564634" w:rsidP="00564634">
            <w:pPr>
              <w:jc w:val="both"/>
            </w:pPr>
            <w:r>
              <w:rPr>
                <w:bdr w:val="none" w:sz="0" w:space="0" w:color="auto" w:frame="1"/>
                <w:shd w:val="clear" w:color="auto" w:fill="FFFFFF"/>
              </w:rPr>
              <w:t>Point of Non Viability (PONV) clause: The absolute right, given to the RBI, to direct a bank to write down the entire value of its outstanding AT1 instruments/Tier 2 instruments having features similar to AT1 instruments, if it thinks the bank has passed the Point of Non Viability (PONV), or requires a public sector capital infusion to remain a going concern</w:t>
            </w:r>
          </w:p>
        </w:tc>
        <w:tc>
          <w:tcPr>
            <w:tcW w:w="2524" w:type="dxa"/>
          </w:tcPr>
          <w:p w14:paraId="5AFA8856" w14:textId="77777777" w:rsidR="00564634" w:rsidRDefault="00564634" w:rsidP="00755950">
            <w:pPr>
              <w:jc w:val="center"/>
            </w:pPr>
          </w:p>
        </w:tc>
      </w:tr>
      <w:tr w:rsidR="00564634" w14:paraId="64244C2B" w14:textId="77777777" w:rsidTr="00564634">
        <w:tc>
          <w:tcPr>
            <w:tcW w:w="6799" w:type="dxa"/>
          </w:tcPr>
          <w:p w14:paraId="2BFC1B91" w14:textId="68B753DD" w:rsidR="00564634" w:rsidRDefault="00564634" w:rsidP="00564634">
            <w:pPr>
              <w:jc w:val="both"/>
              <w:rPr>
                <w:bdr w:val="none" w:sz="0" w:space="0" w:color="auto" w:frame="1"/>
                <w:shd w:val="clear" w:color="auto" w:fill="FFFFFF"/>
              </w:rPr>
            </w:pPr>
            <w:r>
              <w:rPr>
                <w:bdr w:val="none" w:sz="0" w:space="0" w:color="auto" w:frame="1"/>
                <w:shd w:val="clear" w:color="auto" w:fill="FFFFFF"/>
              </w:rPr>
              <w:t>An undertaking stating that the necessary documents for the creation of the charge, where applicable, including the Trust Deed would be executed within the  time  frame  prescribed  in  the  relevant  regulations/act/rules  etc.  and uploaded  on  the  website  of  the  Designated  Stock  exchange,  where  the Instruments have been listed</w:t>
            </w:r>
          </w:p>
        </w:tc>
        <w:tc>
          <w:tcPr>
            <w:tcW w:w="2524" w:type="dxa"/>
          </w:tcPr>
          <w:p w14:paraId="01BA538F" w14:textId="77777777" w:rsidR="00564634" w:rsidRDefault="00564634" w:rsidP="00755950">
            <w:pPr>
              <w:jc w:val="center"/>
            </w:pPr>
          </w:p>
        </w:tc>
      </w:tr>
      <w:tr w:rsidR="00564634" w14:paraId="37B92D5C" w14:textId="77777777" w:rsidTr="00564634">
        <w:tc>
          <w:tcPr>
            <w:tcW w:w="6799" w:type="dxa"/>
          </w:tcPr>
          <w:p w14:paraId="19A8F02B" w14:textId="7AF8ACA0" w:rsidR="00564634" w:rsidRDefault="00564634" w:rsidP="00564634">
            <w:pPr>
              <w:jc w:val="both"/>
              <w:rPr>
                <w:bdr w:val="none" w:sz="0" w:space="0" w:color="auto" w:frame="1"/>
                <w:shd w:val="clear" w:color="auto" w:fill="FFFFFF"/>
              </w:rPr>
            </w:pPr>
            <w:r>
              <w:rPr>
                <w:bdr w:val="none" w:sz="0" w:space="0" w:color="auto" w:frame="1"/>
                <w:shd w:val="clear" w:color="auto" w:fill="FFFFFF"/>
              </w:rPr>
              <w:t>An undertaking that permission / consent from the prior creditor for a second or pari-passu charge being created, where applicable, in favor of the trustees to the proposed issue has been obtained</w:t>
            </w:r>
          </w:p>
        </w:tc>
        <w:tc>
          <w:tcPr>
            <w:tcW w:w="2524" w:type="dxa"/>
          </w:tcPr>
          <w:p w14:paraId="011257A6" w14:textId="77777777" w:rsidR="00564634" w:rsidRDefault="00564634" w:rsidP="00755950">
            <w:pPr>
              <w:jc w:val="center"/>
            </w:pPr>
          </w:p>
        </w:tc>
      </w:tr>
      <w:tr w:rsidR="00564634" w14:paraId="1F21DBB5" w14:textId="77777777" w:rsidTr="00564634">
        <w:tc>
          <w:tcPr>
            <w:tcW w:w="6799" w:type="dxa"/>
          </w:tcPr>
          <w:p w14:paraId="4B3D3DDE" w14:textId="1B21ACCA" w:rsidR="00564634" w:rsidRDefault="00564634" w:rsidP="00564634">
            <w:pPr>
              <w:jc w:val="both"/>
              <w:rPr>
                <w:bdr w:val="none" w:sz="0" w:space="0" w:color="auto" w:frame="1"/>
                <w:shd w:val="clear" w:color="auto" w:fill="FFFFFF"/>
              </w:rPr>
            </w:pPr>
            <w:r>
              <w:rPr>
                <w:bdr w:val="none" w:sz="0" w:space="0" w:color="auto" w:frame="1"/>
                <w:shd w:val="clear" w:color="auto" w:fill="FFFFFF"/>
              </w:rPr>
              <w:t>Gross debt-equity ratio of the company, before and after the issuance of the instrument.</w:t>
            </w:r>
          </w:p>
        </w:tc>
        <w:tc>
          <w:tcPr>
            <w:tcW w:w="2524" w:type="dxa"/>
          </w:tcPr>
          <w:p w14:paraId="077B4565" w14:textId="77777777" w:rsidR="00564634" w:rsidRDefault="00564634" w:rsidP="00755950">
            <w:pPr>
              <w:jc w:val="center"/>
            </w:pPr>
          </w:p>
        </w:tc>
      </w:tr>
      <w:tr w:rsidR="00564634" w14:paraId="5A9E8F21" w14:textId="77777777" w:rsidTr="00564634">
        <w:tc>
          <w:tcPr>
            <w:tcW w:w="6799" w:type="dxa"/>
          </w:tcPr>
          <w:p w14:paraId="0245686C" w14:textId="1AD8AA5D" w:rsidR="00564634" w:rsidRDefault="00564634" w:rsidP="00564634">
            <w:pPr>
              <w:jc w:val="both"/>
              <w:rPr>
                <w:bdr w:val="none" w:sz="0" w:space="0" w:color="auto" w:frame="1"/>
                <w:shd w:val="clear" w:color="auto" w:fill="FFFFFF"/>
              </w:rPr>
            </w:pPr>
            <w:r>
              <w:rPr>
                <w:bdr w:val="none" w:sz="0" w:space="0" w:color="auto" w:frame="1"/>
                <w:shd w:val="clear" w:color="auto" w:fill="FFFFFF"/>
              </w:rPr>
              <w:t>The  names  of  the  debenture  trustee(s)  with  a  statement  to  the effect  that debenture trustee(s) has given its consent to the Issuer for its appointment and in all the subsequent periodical communications sent to the holders of the instruments</w:t>
            </w:r>
          </w:p>
        </w:tc>
        <w:tc>
          <w:tcPr>
            <w:tcW w:w="2524" w:type="dxa"/>
          </w:tcPr>
          <w:p w14:paraId="3BC39E59" w14:textId="77777777" w:rsidR="00564634" w:rsidRDefault="00564634" w:rsidP="00755950">
            <w:pPr>
              <w:jc w:val="center"/>
            </w:pPr>
          </w:p>
        </w:tc>
      </w:tr>
      <w:tr w:rsidR="00564634" w14:paraId="54D5BBC9" w14:textId="77777777" w:rsidTr="00564634">
        <w:tc>
          <w:tcPr>
            <w:tcW w:w="6799" w:type="dxa"/>
          </w:tcPr>
          <w:p w14:paraId="5893BF95" w14:textId="6E593763" w:rsidR="00564634" w:rsidRDefault="00564634" w:rsidP="00564634">
            <w:pPr>
              <w:jc w:val="both"/>
              <w:rPr>
                <w:bdr w:val="none" w:sz="0" w:space="0" w:color="auto" w:frame="1"/>
                <w:shd w:val="clear" w:color="auto" w:fill="FFFFFF"/>
              </w:rPr>
            </w:pPr>
            <w:r>
              <w:rPr>
                <w:bdr w:val="none" w:sz="0" w:space="0" w:color="auto" w:frame="1"/>
                <w:shd w:val="clear" w:color="auto" w:fill="FFFFFF"/>
              </w:rPr>
              <w:t>If the security is backed by a guarantee or letter of comfort or any other document / letter with similar intent, a copy of the same. In case such document does  not  contain  detailed  payment  structure  (procedure  of  invocation  of guarantee  and  receipt  of  payment  by  the  investor  along  with  timelines), disclosure of the same in the placement memorandum.</w:t>
            </w:r>
            <w:bookmarkStart w:id="0" w:name="_GoBack"/>
            <w:bookmarkEnd w:id="0"/>
          </w:p>
        </w:tc>
        <w:tc>
          <w:tcPr>
            <w:tcW w:w="2524" w:type="dxa"/>
          </w:tcPr>
          <w:p w14:paraId="3729ACC4" w14:textId="77777777" w:rsidR="00564634" w:rsidRDefault="00564634" w:rsidP="00755950">
            <w:pPr>
              <w:jc w:val="center"/>
            </w:pPr>
          </w:p>
        </w:tc>
      </w:tr>
    </w:tbl>
    <w:p w14:paraId="2D771775" w14:textId="77777777" w:rsidR="00564634" w:rsidRDefault="00564634" w:rsidP="00755950">
      <w:pPr>
        <w:jc w:val="center"/>
      </w:pPr>
    </w:p>
    <w:sectPr w:rsidR="00564634" w:rsidSect="00755950">
      <w:pgSz w:w="11906" w:h="16838"/>
      <w:pgMar w:top="1440" w:right="1133"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164AE" w14:textId="77777777" w:rsidR="00755950" w:rsidRDefault="00755950" w:rsidP="00755950">
      <w:pPr>
        <w:spacing w:after="0" w:line="240" w:lineRule="auto"/>
      </w:pPr>
      <w:r>
        <w:separator/>
      </w:r>
    </w:p>
  </w:endnote>
  <w:endnote w:type="continuationSeparator" w:id="0">
    <w:p w14:paraId="0A7F3C5C" w14:textId="77777777" w:rsidR="00755950" w:rsidRDefault="00755950" w:rsidP="0075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926A6" w14:textId="77777777" w:rsidR="00755950" w:rsidRDefault="00755950" w:rsidP="00755950">
      <w:pPr>
        <w:spacing w:after="0" w:line="240" w:lineRule="auto"/>
      </w:pPr>
      <w:r>
        <w:separator/>
      </w:r>
    </w:p>
  </w:footnote>
  <w:footnote w:type="continuationSeparator" w:id="0">
    <w:p w14:paraId="56F4F828" w14:textId="77777777" w:rsidR="00755950" w:rsidRDefault="00755950" w:rsidP="00755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6914"/>
    <w:multiLevelType w:val="hybridMultilevel"/>
    <w:tmpl w:val="34D08692"/>
    <w:lvl w:ilvl="0" w:tplc="34CE2BAA">
      <w:start w:val="1"/>
      <w:numFmt w:val="lowerRoman"/>
      <w:lvlText w:val="%1."/>
      <w:lvlJc w:val="righ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D7EFE"/>
    <w:multiLevelType w:val="hybridMultilevel"/>
    <w:tmpl w:val="76ECD61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80"/>
    <w:rsid w:val="00120AE2"/>
    <w:rsid w:val="00232180"/>
    <w:rsid w:val="002E5ED8"/>
    <w:rsid w:val="003B596A"/>
    <w:rsid w:val="00564634"/>
    <w:rsid w:val="00687FC4"/>
    <w:rsid w:val="00755950"/>
    <w:rsid w:val="009024C5"/>
    <w:rsid w:val="009445F8"/>
    <w:rsid w:val="00953275"/>
    <w:rsid w:val="00A324A5"/>
    <w:rsid w:val="00AB640B"/>
    <w:rsid w:val="00D14358"/>
    <w:rsid w:val="00E1755B"/>
    <w:rsid w:val="00E712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CD1292"/>
  <w15:chartTrackingRefBased/>
  <w15:docId w15:val="{C03C5CD5-CAE3-4C1A-B496-7F319DB0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532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80"/>
    <w:pPr>
      <w:ind w:left="720"/>
      <w:contextualSpacing/>
    </w:pPr>
  </w:style>
  <w:style w:type="paragraph" w:styleId="NoSpacing">
    <w:name w:val="No Spacing"/>
    <w:uiPriority w:val="1"/>
    <w:qFormat/>
    <w:rsid w:val="00AB640B"/>
    <w:pPr>
      <w:spacing w:after="0" w:line="240" w:lineRule="auto"/>
    </w:pPr>
  </w:style>
  <w:style w:type="table" w:styleId="TableGrid">
    <w:name w:val="Table Grid"/>
    <w:basedOn w:val="TableNormal"/>
    <w:uiPriority w:val="59"/>
    <w:rsid w:val="00953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5327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Pramilla D'Souza (LIST-BD)</dc:creator>
  <cp:keywords/>
  <dc:description/>
  <cp:lastModifiedBy>Pramilla D'Souza (LIST-BD)</cp:lastModifiedBy>
  <cp:revision>3</cp:revision>
  <dcterms:created xsi:type="dcterms:W3CDTF">2021-06-18T14:41:00Z</dcterms:created>
  <dcterms:modified xsi:type="dcterms:W3CDTF">2021-06-22T10:58:00Z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5f50f5-e953-4c63-867b-388561f41989_Enabled">
    <vt:lpwstr>True</vt:lpwstr>
  </property>
  <property fmtid="{D5CDD505-2E9C-101B-9397-08002B2CF9AE}" pid="3" name="MSIP_Label_305f50f5-e953-4c63-867b-388561f41989_SiteId">
    <vt:lpwstr>fb8ed654-3195-4846-ac37-491dc8a2349e</vt:lpwstr>
  </property>
  <property fmtid="{D5CDD505-2E9C-101B-9397-08002B2CF9AE}" pid="4" name="MSIP_Label_305f50f5-e953-4c63-867b-388561f41989_Owner">
    <vt:lpwstr>pveigas@nse.co.in</vt:lpwstr>
  </property>
  <property fmtid="{D5CDD505-2E9C-101B-9397-08002B2CF9AE}" pid="5" name="MSIP_Label_305f50f5-e953-4c63-867b-388561f41989_SetDate">
    <vt:lpwstr>2021-03-04T13:35:30.3739920Z</vt:lpwstr>
  </property>
  <property fmtid="{D5CDD505-2E9C-101B-9397-08002B2CF9AE}" pid="6" name="MSIP_Label_305f50f5-e953-4c63-867b-388561f41989_Name">
    <vt:lpwstr>Non-Confidential</vt:lpwstr>
  </property>
  <property fmtid="{D5CDD505-2E9C-101B-9397-08002B2CF9AE}" pid="7" name="MSIP_Label_305f50f5-e953-4c63-867b-388561f41989_Application">
    <vt:lpwstr>Microsoft Azure Information Protection</vt:lpwstr>
  </property>
  <property fmtid="{D5CDD505-2E9C-101B-9397-08002B2CF9AE}" pid="8" name="MSIP_Label_305f50f5-e953-4c63-867b-388561f41989_ActionId">
    <vt:lpwstr>08a2b0fe-798b-4248-a6a0-9510087d1048</vt:lpwstr>
  </property>
  <property fmtid="{D5CDD505-2E9C-101B-9397-08002B2CF9AE}" pid="9" name="MSIP_Label_305f50f5-e953-4c63-867b-388561f41989_Extended_MSFT_Method">
    <vt:lpwstr>Manual</vt:lpwstr>
  </property>
  <property fmtid="{D5CDD505-2E9C-101B-9397-08002B2CF9AE}" pid="10" name="Sensitivity">
    <vt:lpwstr>Non-Confidential</vt:lpwstr>
  </property>
</Properties>
</file>