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8AB38" w14:textId="77777777" w:rsidR="006300F7" w:rsidRDefault="006300F7" w:rsidP="006300F7">
      <w:pPr>
        <w:spacing w:before="73"/>
        <w:ind w:left="120" w:right="117"/>
        <w:jc w:val="both"/>
        <w:rPr>
          <w:i/>
          <w:sz w:val="24"/>
        </w:rPr>
      </w:pPr>
      <w:r>
        <w:rPr>
          <w:i/>
          <w:sz w:val="24"/>
        </w:rPr>
        <w:t>Disclaimer: These guidelines are issued as guidance only. The directions/instructions issued in provision of Law, Regulation, SEBI and Exchange circular are referred to in these guidelines are final for decision making in the matter. These guidelines are not and should not be construed as substitution/clarification/explanation on any matter on which provision of Law, Regulation or SEBI/Exchange circular were</w:t>
      </w:r>
      <w:r>
        <w:rPr>
          <w:i/>
          <w:spacing w:val="-1"/>
          <w:sz w:val="24"/>
        </w:rPr>
        <w:t xml:space="preserve"> </w:t>
      </w:r>
      <w:r>
        <w:rPr>
          <w:i/>
          <w:sz w:val="24"/>
        </w:rPr>
        <w:t>issued.</w:t>
      </w:r>
    </w:p>
    <w:p w14:paraId="35D80BB1" w14:textId="77777777" w:rsidR="00C743EA" w:rsidRDefault="00C743EA" w:rsidP="00231B03">
      <w:pPr>
        <w:jc w:val="center"/>
        <w:rPr>
          <w:rFonts w:ascii="Times New Roman" w:hAnsi="Times New Roman" w:cs="Times New Roman"/>
          <w:b/>
          <w:bCs/>
          <w:sz w:val="28"/>
          <w:szCs w:val="28"/>
          <w:u w:val="single"/>
          <w:lang w:val="en-US"/>
        </w:rPr>
      </w:pPr>
    </w:p>
    <w:p w14:paraId="40E916D3" w14:textId="1015F802" w:rsidR="004B6C1A" w:rsidRPr="008A7BB5" w:rsidRDefault="00231B03" w:rsidP="00231B03">
      <w:pPr>
        <w:jc w:val="center"/>
        <w:rPr>
          <w:rFonts w:ascii="Times New Roman" w:hAnsi="Times New Roman" w:cs="Times New Roman"/>
          <w:b/>
          <w:bCs/>
          <w:sz w:val="28"/>
          <w:szCs w:val="28"/>
          <w:u w:val="single"/>
          <w:lang w:val="en-US"/>
        </w:rPr>
      </w:pPr>
      <w:r w:rsidRPr="008A7BB5">
        <w:rPr>
          <w:rFonts w:ascii="Times New Roman" w:hAnsi="Times New Roman" w:cs="Times New Roman"/>
          <w:b/>
          <w:bCs/>
          <w:sz w:val="28"/>
          <w:szCs w:val="28"/>
          <w:u w:val="single"/>
          <w:lang w:val="en-US"/>
        </w:rPr>
        <w:t xml:space="preserve">Points to be Remembered </w:t>
      </w:r>
    </w:p>
    <w:p w14:paraId="13D81E17" w14:textId="77777777" w:rsidR="008A7BB5" w:rsidRPr="008A7BB5" w:rsidRDefault="008A7BB5" w:rsidP="008A7BB5">
      <w:pPr>
        <w:pStyle w:val="ListParagraph"/>
        <w:ind w:left="284"/>
        <w:jc w:val="both"/>
        <w:rPr>
          <w:rFonts w:ascii="Times New Roman" w:hAnsi="Times New Roman" w:cs="Times New Roman"/>
          <w:sz w:val="24"/>
          <w:szCs w:val="24"/>
          <w:lang w:val="en-US"/>
        </w:rPr>
      </w:pPr>
    </w:p>
    <w:p w14:paraId="1004F9AD" w14:textId="46F69FFF" w:rsidR="00E64FE0" w:rsidRPr="008A7BB5" w:rsidRDefault="00E64FE0" w:rsidP="00231B03">
      <w:pPr>
        <w:pStyle w:val="ListParagraph"/>
        <w:numPr>
          <w:ilvl w:val="0"/>
          <w:numId w:val="1"/>
        </w:numPr>
        <w:ind w:left="284" w:hanging="284"/>
        <w:jc w:val="both"/>
        <w:rPr>
          <w:rFonts w:ascii="Times New Roman" w:hAnsi="Times New Roman" w:cs="Times New Roman"/>
          <w:sz w:val="24"/>
          <w:szCs w:val="24"/>
          <w:lang w:val="en-US"/>
        </w:rPr>
      </w:pPr>
      <w:r w:rsidRPr="008A7BB5">
        <w:rPr>
          <w:rFonts w:ascii="Times New Roman" w:hAnsi="Times New Roman" w:cs="Times New Roman"/>
          <w:sz w:val="24"/>
          <w:szCs w:val="24"/>
        </w:rPr>
        <w:t>Obtain in-principle approval</w:t>
      </w:r>
      <w:r w:rsidR="008E5344" w:rsidRPr="008A7BB5">
        <w:rPr>
          <w:rFonts w:ascii="Times New Roman" w:hAnsi="Times New Roman" w:cs="Times New Roman"/>
          <w:sz w:val="24"/>
          <w:szCs w:val="24"/>
        </w:rPr>
        <w:t xml:space="preserve"> </w:t>
      </w:r>
      <w:r w:rsidR="00F451E1">
        <w:rPr>
          <w:rFonts w:ascii="Times New Roman" w:hAnsi="Times New Roman" w:cs="Times New Roman"/>
          <w:sz w:val="24"/>
          <w:szCs w:val="24"/>
        </w:rPr>
        <w:t xml:space="preserve">under regulations 28 (1) of SEBI LODR regulations </w:t>
      </w:r>
      <w:r w:rsidR="008E5344" w:rsidRPr="008A7BB5">
        <w:rPr>
          <w:rFonts w:ascii="Times New Roman" w:hAnsi="Times New Roman" w:cs="Times New Roman"/>
          <w:sz w:val="24"/>
          <w:szCs w:val="24"/>
        </w:rPr>
        <w:t xml:space="preserve">from the </w:t>
      </w:r>
      <w:r w:rsidR="00F451E1">
        <w:rPr>
          <w:rFonts w:ascii="Times New Roman" w:hAnsi="Times New Roman" w:cs="Times New Roman"/>
          <w:sz w:val="24"/>
          <w:szCs w:val="24"/>
        </w:rPr>
        <w:t>E</w:t>
      </w:r>
      <w:r w:rsidRPr="008A7BB5">
        <w:rPr>
          <w:rFonts w:ascii="Times New Roman" w:hAnsi="Times New Roman" w:cs="Times New Roman"/>
          <w:sz w:val="24"/>
          <w:szCs w:val="24"/>
        </w:rPr>
        <w:t xml:space="preserve">xchange prior to the issuance of any </w:t>
      </w:r>
      <w:r w:rsidR="00766068" w:rsidRPr="008A7BB5">
        <w:rPr>
          <w:rFonts w:ascii="Times New Roman" w:hAnsi="Times New Roman" w:cs="Times New Roman"/>
          <w:sz w:val="24"/>
          <w:szCs w:val="24"/>
        </w:rPr>
        <w:t>security</w:t>
      </w:r>
      <w:r w:rsidRPr="008A7BB5">
        <w:rPr>
          <w:rFonts w:ascii="Times New Roman" w:hAnsi="Times New Roman" w:cs="Times New Roman"/>
          <w:sz w:val="24"/>
          <w:szCs w:val="24"/>
        </w:rPr>
        <w:t xml:space="preserve"> through preferential issue.</w:t>
      </w:r>
    </w:p>
    <w:p w14:paraId="3ACBE0C1" w14:textId="77777777" w:rsidR="00E64FE0" w:rsidRPr="008A7BB5" w:rsidRDefault="00E64FE0" w:rsidP="00231B03">
      <w:pPr>
        <w:pStyle w:val="ListParagraph"/>
        <w:ind w:left="284" w:hanging="284"/>
        <w:jc w:val="both"/>
        <w:rPr>
          <w:rFonts w:ascii="Times New Roman" w:hAnsi="Times New Roman" w:cs="Times New Roman"/>
          <w:sz w:val="24"/>
          <w:szCs w:val="24"/>
          <w:lang w:val="en-US"/>
        </w:rPr>
      </w:pPr>
    </w:p>
    <w:p w14:paraId="6E976D84" w14:textId="7E64E275" w:rsidR="00B95D24" w:rsidRPr="008A7BB5" w:rsidRDefault="001E63F8" w:rsidP="00504ED2">
      <w:pPr>
        <w:pStyle w:val="ListParagraph"/>
        <w:numPr>
          <w:ilvl w:val="0"/>
          <w:numId w:val="1"/>
        </w:numPr>
        <w:ind w:left="284" w:hanging="284"/>
        <w:jc w:val="both"/>
        <w:rPr>
          <w:rFonts w:ascii="Times New Roman" w:hAnsi="Times New Roman" w:cs="Times New Roman"/>
          <w:sz w:val="24"/>
          <w:szCs w:val="24"/>
          <w:lang w:val="en-US"/>
        </w:rPr>
      </w:pPr>
      <w:r w:rsidRPr="008A7BB5">
        <w:rPr>
          <w:rFonts w:ascii="Times New Roman" w:hAnsi="Times New Roman" w:cs="Times New Roman"/>
          <w:sz w:val="24"/>
          <w:szCs w:val="24"/>
        </w:rPr>
        <w:t>A</w:t>
      </w:r>
      <w:r w:rsidR="004B6C1A" w:rsidRPr="008A7BB5">
        <w:rPr>
          <w:rFonts w:ascii="Times New Roman" w:hAnsi="Times New Roman" w:cs="Times New Roman"/>
          <w:sz w:val="24"/>
          <w:szCs w:val="24"/>
        </w:rPr>
        <w:t xml:space="preserve">pplication seeking in-principle approval </w:t>
      </w:r>
      <w:r w:rsidRPr="008A7BB5">
        <w:rPr>
          <w:rFonts w:ascii="Times New Roman" w:hAnsi="Times New Roman" w:cs="Times New Roman"/>
          <w:sz w:val="24"/>
          <w:szCs w:val="24"/>
        </w:rPr>
        <w:t>of</w:t>
      </w:r>
      <w:r w:rsidR="004B6C1A" w:rsidRPr="008A7BB5">
        <w:rPr>
          <w:rFonts w:ascii="Times New Roman" w:hAnsi="Times New Roman" w:cs="Times New Roman"/>
          <w:sz w:val="24"/>
          <w:szCs w:val="24"/>
        </w:rPr>
        <w:t xml:space="preserve"> the stock exchange(s),</w:t>
      </w:r>
      <w:r w:rsidR="00F451E1">
        <w:rPr>
          <w:rFonts w:ascii="Times New Roman" w:hAnsi="Times New Roman" w:cs="Times New Roman"/>
          <w:sz w:val="24"/>
          <w:szCs w:val="24"/>
        </w:rPr>
        <w:t xml:space="preserve"> </w:t>
      </w:r>
      <w:r w:rsidRPr="008A7BB5">
        <w:rPr>
          <w:rFonts w:ascii="Times New Roman" w:hAnsi="Times New Roman" w:cs="Times New Roman"/>
          <w:sz w:val="24"/>
          <w:szCs w:val="24"/>
        </w:rPr>
        <w:t>to be submitted</w:t>
      </w:r>
      <w:r w:rsidR="004B6C1A" w:rsidRPr="008A7BB5">
        <w:rPr>
          <w:rFonts w:ascii="Times New Roman" w:hAnsi="Times New Roman" w:cs="Times New Roman"/>
          <w:sz w:val="24"/>
          <w:szCs w:val="24"/>
        </w:rPr>
        <w:t>, on the same day when the notice has been sent in respect of the general meeting seeking shareholders’ approval</w:t>
      </w:r>
      <w:r w:rsidR="007952C3" w:rsidRPr="008A7BB5">
        <w:rPr>
          <w:rFonts w:ascii="Times New Roman" w:hAnsi="Times New Roman" w:cs="Times New Roman"/>
          <w:sz w:val="24"/>
          <w:szCs w:val="24"/>
        </w:rPr>
        <w:t>.</w:t>
      </w:r>
      <w:r w:rsidR="004B6C1A" w:rsidRPr="008A7BB5">
        <w:rPr>
          <w:rFonts w:ascii="Times New Roman" w:hAnsi="Times New Roman" w:cs="Times New Roman"/>
          <w:sz w:val="24"/>
          <w:szCs w:val="24"/>
        </w:rPr>
        <w:t xml:space="preserve"> </w:t>
      </w:r>
    </w:p>
    <w:p w14:paraId="4251644D" w14:textId="77777777" w:rsidR="00B95D24" w:rsidRPr="008A7BB5" w:rsidRDefault="00B95D24" w:rsidP="00B95D24">
      <w:pPr>
        <w:pStyle w:val="ListParagraph"/>
        <w:rPr>
          <w:rFonts w:ascii="Times New Roman" w:hAnsi="Times New Roman" w:cs="Times New Roman"/>
          <w:sz w:val="24"/>
          <w:szCs w:val="24"/>
          <w:lang w:val="en-US"/>
        </w:rPr>
      </w:pPr>
    </w:p>
    <w:p w14:paraId="37416F87" w14:textId="5824A237" w:rsidR="00C82310" w:rsidRPr="008A7BB5" w:rsidRDefault="00C82310" w:rsidP="00504ED2">
      <w:pPr>
        <w:pStyle w:val="ListParagraph"/>
        <w:numPr>
          <w:ilvl w:val="0"/>
          <w:numId w:val="1"/>
        </w:numPr>
        <w:ind w:left="284" w:hanging="284"/>
        <w:jc w:val="both"/>
        <w:rPr>
          <w:rFonts w:ascii="Times New Roman" w:hAnsi="Times New Roman" w:cs="Times New Roman"/>
          <w:sz w:val="24"/>
          <w:szCs w:val="24"/>
          <w:lang w:val="en-US"/>
        </w:rPr>
      </w:pPr>
      <w:r w:rsidRPr="008A7BB5">
        <w:rPr>
          <w:rFonts w:ascii="Times New Roman" w:hAnsi="Times New Roman" w:cs="Times New Roman"/>
          <w:sz w:val="24"/>
          <w:szCs w:val="24"/>
          <w:lang w:val="en-US"/>
        </w:rPr>
        <w:t xml:space="preserve">Obtain Permanent Account Numbers (PAN) of the proposed allottees, before submitting </w:t>
      </w:r>
      <w:r w:rsidR="00894CE9" w:rsidRPr="008A7BB5">
        <w:rPr>
          <w:rFonts w:ascii="Times New Roman" w:hAnsi="Times New Roman" w:cs="Times New Roman"/>
          <w:sz w:val="24"/>
          <w:szCs w:val="24"/>
          <w:lang w:val="en-US"/>
        </w:rPr>
        <w:t xml:space="preserve">the </w:t>
      </w:r>
      <w:r w:rsidRPr="008A7BB5">
        <w:rPr>
          <w:rFonts w:ascii="Times New Roman" w:hAnsi="Times New Roman" w:cs="Times New Roman"/>
          <w:sz w:val="24"/>
          <w:szCs w:val="24"/>
          <w:lang w:val="en-US"/>
        </w:rPr>
        <w:t>application seeking in</w:t>
      </w:r>
      <w:r w:rsidR="00B95D24" w:rsidRPr="008A7BB5">
        <w:rPr>
          <w:rFonts w:ascii="Times New Roman" w:hAnsi="Times New Roman" w:cs="Times New Roman"/>
          <w:sz w:val="24"/>
          <w:szCs w:val="24"/>
          <w:lang w:val="en-US"/>
        </w:rPr>
        <w:t>-</w:t>
      </w:r>
      <w:r w:rsidRPr="008A7BB5">
        <w:rPr>
          <w:rFonts w:ascii="Times New Roman" w:hAnsi="Times New Roman" w:cs="Times New Roman"/>
          <w:sz w:val="24"/>
          <w:szCs w:val="24"/>
          <w:lang w:val="en-US"/>
        </w:rPr>
        <w:t>principl</w:t>
      </w:r>
      <w:r w:rsidR="00F451E1">
        <w:rPr>
          <w:rFonts w:ascii="Times New Roman" w:hAnsi="Times New Roman" w:cs="Times New Roman"/>
          <w:sz w:val="24"/>
          <w:szCs w:val="24"/>
          <w:lang w:val="en-US"/>
        </w:rPr>
        <w:t>e</w:t>
      </w:r>
      <w:r w:rsidR="00894CE9" w:rsidRPr="008A7BB5">
        <w:rPr>
          <w:rFonts w:ascii="Times New Roman" w:hAnsi="Times New Roman" w:cs="Times New Roman"/>
          <w:sz w:val="24"/>
          <w:szCs w:val="24"/>
          <w:lang w:val="en-US"/>
        </w:rPr>
        <w:t>.</w:t>
      </w:r>
    </w:p>
    <w:p w14:paraId="1C29BF75" w14:textId="77777777" w:rsidR="00894CE9" w:rsidRPr="00894CE9" w:rsidRDefault="00894CE9" w:rsidP="00894CE9">
      <w:pPr>
        <w:pStyle w:val="ListParagraph"/>
        <w:autoSpaceDE w:val="0"/>
        <w:autoSpaceDN w:val="0"/>
        <w:adjustRightInd w:val="0"/>
        <w:spacing w:after="0" w:line="240" w:lineRule="auto"/>
        <w:jc w:val="both"/>
        <w:rPr>
          <w:rFonts w:ascii="Times New Roman" w:hAnsi="Times New Roman" w:cs="Times New Roman"/>
          <w:sz w:val="24"/>
          <w:szCs w:val="24"/>
          <w:lang w:val="en-US"/>
        </w:rPr>
      </w:pPr>
    </w:p>
    <w:p w14:paraId="3D0742E4" w14:textId="22955F6C" w:rsidR="006832CD" w:rsidRPr="008A7BB5" w:rsidRDefault="00B95D24" w:rsidP="00231B03">
      <w:pPr>
        <w:pStyle w:val="ListParagraph"/>
        <w:numPr>
          <w:ilvl w:val="0"/>
          <w:numId w:val="1"/>
        </w:numPr>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Company</w:t>
      </w:r>
      <w:r w:rsidR="006832CD" w:rsidRPr="005A7EAB">
        <w:rPr>
          <w:rFonts w:ascii="Times New Roman" w:hAnsi="Times New Roman" w:cs="Times New Roman"/>
          <w:sz w:val="24"/>
          <w:szCs w:val="24"/>
          <w:lang w:val="en-US"/>
        </w:rPr>
        <w:t xml:space="preserve"> shall </w:t>
      </w:r>
      <w:r w:rsidR="003741F7">
        <w:rPr>
          <w:rFonts w:ascii="Times New Roman" w:hAnsi="Times New Roman" w:cs="Times New Roman"/>
          <w:sz w:val="24"/>
          <w:szCs w:val="24"/>
          <w:lang w:val="en-US"/>
        </w:rPr>
        <w:t>ensure</w:t>
      </w:r>
      <w:r w:rsidR="00B62940" w:rsidRPr="005A7EAB">
        <w:rPr>
          <w:rFonts w:ascii="Times New Roman" w:hAnsi="Times New Roman" w:cs="Times New Roman"/>
          <w:sz w:val="24"/>
          <w:szCs w:val="24"/>
          <w:lang w:val="en-US"/>
        </w:rPr>
        <w:t xml:space="preserve"> </w:t>
      </w:r>
      <w:r w:rsidR="006A30FE" w:rsidRPr="005A7EAB">
        <w:rPr>
          <w:rFonts w:ascii="Times New Roman" w:hAnsi="Times New Roman" w:cs="Times New Roman"/>
          <w:sz w:val="24"/>
          <w:szCs w:val="24"/>
          <w:lang w:val="en-US"/>
        </w:rPr>
        <w:t xml:space="preserve">compliance with the conditions for continuous listing of equity shares as specified in the listing agreement with the stock exchange where the equity shares of the </w:t>
      </w:r>
      <w:r w:rsidR="006A30FE" w:rsidRPr="008A7BB5">
        <w:rPr>
          <w:rFonts w:ascii="Times New Roman" w:hAnsi="Times New Roman" w:cs="Times New Roman"/>
          <w:sz w:val="24"/>
          <w:szCs w:val="24"/>
          <w:lang w:val="en-US"/>
        </w:rPr>
        <w:t>issuer are listed</w:t>
      </w:r>
      <w:r w:rsidR="003741F7">
        <w:rPr>
          <w:rFonts w:ascii="Times New Roman" w:hAnsi="Times New Roman" w:cs="Times New Roman"/>
          <w:sz w:val="24"/>
          <w:szCs w:val="24"/>
          <w:lang w:val="en-US"/>
        </w:rPr>
        <w:t>.</w:t>
      </w:r>
    </w:p>
    <w:p w14:paraId="6C057938" w14:textId="77777777" w:rsidR="00CE6EEF" w:rsidRPr="008A7BB5" w:rsidRDefault="00CE6EEF" w:rsidP="00231B03">
      <w:pPr>
        <w:pStyle w:val="ListParagraph"/>
        <w:ind w:left="284" w:hanging="284"/>
        <w:jc w:val="both"/>
        <w:rPr>
          <w:rFonts w:ascii="Times New Roman" w:hAnsi="Times New Roman" w:cs="Times New Roman"/>
          <w:sz w:val="24"/>
          <w:szCs w:val="24"/>
          <w:lang w:val="en-US"/>
        </w:rPr>
      </w:pPr>
    </w:p>
    <w:p w14:paraId="578031DB" w14:textId="7C40B945" w:rsidR="00CE6EEF" w:rsidRPr="008A7BB5" w:rsidRDefault="009321C2" w:rsidP="00231B03">
      <w:pPr>
        <w:pStyle w:val="ListParagraph"/>
        <w:numPr>
          <w:ilvl w:val="0"/>
          <w:numId w:val="1"/>
        </w:numPr>
        <w:ind w:left="284" w:hanging="284"/>
        <w:jc w:val="both"/>
        <w:rPr>
          <w:rFonts w:ascii="Times New Roman" w:hAnsi="Times New Roman" w:cs="Times New Roman"/>
          <w:sz w:val="24"/>
          <w:szCs w:val="24"/>
          <w:lang w:val="en-US"/>
        </w:rPr>
      </w:pPr>
      <w:r w:rsidRPr="008A7BB5">
        <w:rPr>
          <w:rFonts w:ascii="Times New Roman" w:hAnsi="Times New Roman" w:cs="Times New Roman"/>
          <w:sz w:val="24"/>
          <w:szCs w:val="24"/>
          <w:lang w:val="en-US"/>
        </w:rPr>
        <w:t>Ensure t</w:t>
      </w:r>
      <w:r w:rsidR="00CE6EEF" w:rsidRPr="008A7BB5">
        <w:rPr>
          <w:rFonts w:ascii="Times New Roman" w:hAnsi="Times New Roman" w:cs="Times New Roman"/>
          <w:sz w:val="24"/>
          <w:szCs w:val="24"/>
          <w:lang w:val="en-US"/>
        </w:rPr>
        <w:t xml:space="preserve">here </w:t>
      </w:r>
      <w:r w:rsidRPr="008A7BB5">
        <w:rPr>
          <w:rFonts w:ascii="Times New Roman" w:hAnsi="Times New Roman" w:cs="Times New Roman"/>
          <w:sz w:val="24"/>
          <w:szCs w:val="24"/>
          <w:lang w:val="en-US"/>
        </w:rPr>
        <w:t xml:space="preserve">are </w:t>
      </w:r>
      <w:r w:rsidR="00CE6EEF" w:rsidRPr="008A7BB5">
        <w:rPr>
          <w:rFonts w:ascii="Times New Roman" w:hAnsi="Times New Roman" w:cs="Times New Roman"/>
          <w:sz w:val="24"/>
          <w:szCs w:val="24"/>
          <w:lang w:val="en-US"/>
        </w:rPr>
        <w:t xml:space="preserve">no outstanding due </w:t>
      </w:r>
      <w:r w:rsidR="00FF40AC" w:rsidRPr="008A7BB5">
        <w:rPr>
          <w:rFonts w:ascii="Times New Roman" w:hAnsi="Times New Roman" w:cs="Times New Roman"/>
          <w:sz w:val="24"/>
          <w:szCs w:val="24"/>
          <w:lang w:val="en-US"/>
        </w:rPr>
        <w:t>like pending SOP fines</w:t>
      </w:r>
      <w:r w:rsidR="000C792A" w:rsidRPr="008A7BB5">
        <w:rPr>
          <w:rFonts w:ascii="Times New Roman" w:hAnsi="Times New Roman" w:cs="Times New Roman"/>
          <w:sz w:val="24"/>
          <w:szCs w:val="24"/>
          <w:lang w:val="en-US"/>
        </w:rPr>
        <w:t>,</w:t>
      </w:r>
      <w:r w:rsidR="00FF40AC" w:rsidRPr="008A7BB5">
        <w:rPr>
          <w:rFonts w:ascii="Times New Roman" w:hAnsi="Times New Roman" w:cs="Times New Roman"/>
          <w:sz w:val="24"/>
          <w:szCs w:val="24"/>
          <w:lang w:val="en-US"/>
        </w:rPr>
        <w:t xml:space="preserve"> </w:t>
      </w:r>
      <w:r w:rsidR="000C792A" w:rsidRPr="008A7BB5">
        <w:rPr>
          <w:rFonts w:ascii="Times New Roman" w:hAnsi="Times New Roman" w:cs="Times New Roman"/>
          <w:sz w:val="24"/>
          <w:szCs w:val="24"/>
          <w:lang w:val="en-US"/>
        </w:rPr>
        <w:t xml:space="preserve">annual listing fees, </w:t>
      </w:r>
      <w:r w:rsidR="003741F7">
        <w:rPr>
          <w:rFonts w:ascii="Times New Roman" w:hAnsi="Times New Roman" w:cs="Times New Roman"/>
          <w:sz w:val="24"/>
          <w:szCs w:val="24"/>
          <w:lang w:val="en-US"/>
        </w:rPr>
        <w:t xml:space="preserve">processing fees, </w:t>
      </w:r>
      <w:r w:rsidR="000C792A" w:rsidRPr="008A7BB5">
        <w:rPr>
          <w:rFonts w:ascii="Times New Roman" w:hAnsi="Times New Roman" w:cs="Times New Roman"/>
          <w:sz w:val="24"/>
          <w:szCs w:val="24"/>
          <w:lang w:val="en-US"/>
        </w:rPr>
        <w:t>etc.</w:t>
      </w:r>
    </w:p>
    <w:p w14:paraId="3667FF03" w14:textId="77777777" w:rsidR="00B95D24" w:rsidRPr="008A7BB5" w:rsidRDefault="00B95D24" w:rsidP="00B95D24">
      <w:pPr>
        <w:pStyle w:val="ListParagraph"/>
        <w:rPr>
          <w:rFonts w:ascii="Times New Roman" w:hAnsi="Times New Roman" w:cs="Times New Roman"/>
          <w:sz w:val="24"/>
          <w:szCs w:val="24"/>
          <w:lang w:val="en-US"/>
        </w:rPr>
      </w:pPr>
    </w:p>
    <w:p w14:paraId="44D36D8C" w14:textId="3C48FF8B" w:rsidR="00B95D24" w:rsidRPr="008A7BB5" w:rsidRDefault="00B95D24" w:rsidP="00B95D24">
      <w:pPr>
        <w:pStyle w:val="ListParagraph"/>
        <w:numPr>
          <w:ilvl w:val="0"/>
          <w:numId w:val="1"/>
        </w:numPr>
        <w:ind w:left="284" w:hanging="284"/>
        <w:jc w:val="both"/>
        <w:rPr>
          <w:rFonts w:ascii="Times New Roman" w:hAnsi="Times New Roman" w:cs="Times New Roman"/>
          <w:sz w:val="24"/>
          <w:szCs w:val="24"/>
          <w:lang w:val="en-US"/>
        </w:rPr>
      </w:pPr>
      <w:r w:rsidRPr="008A7BB5">
        <w:rPr>
          <w:rFonts w:ascii="Times New Roman" w:hAnsi="Times New Roman" w:cs="Times New Roman"/>
          <w:sz w:val="24"/>
          <w:szCs w:val="24"/>
          <w:lang w:val="en-US"/>
        </w:rPr>
        <w:t xml:space="preserve">Explanatory statement to notice </w:t>
      </w:r>
      <w:r w:rsidR="003741F7">
        <w:rPr>
          <w:rFonts w:ascii="Times New Roman" w:hAnsi="Times New Roman" w:cs="Times New Roman"/>
          <w:sz w:val="24"/>
          <w:szCs w:val="24"/>
          <w:lang w:val="en-US"/>
        </w:rPr>
        <w:t xml:space="preserve">sent </w:t>
      </w:r>
      <w:r w:rsidRPr="008A7BB5">
        <w:rPr>
          <w:rFonts w:ascii="Times New Roman" w:hAnsi="Times New Roman" w:cs="Times New Roman"/>
          <w:sz w:val="24"/>
          <w:szCs w:val="24"/>
          <w:lang w:val="en-US"/>
        </w:rPr>
        <w:t xml:space="preserve">to the shareholders obtaining approval </w:t>
      </w:r>
      <w:r w:rsidR="003741F7" w:rsidRPr="008A7BB5">
        <w:rPr>
          <w:rFonts w:ascii="Times New Roman" w:hAnsi="Times New Roman" w:cs="Times New Roman"/>
          <w:sz w:val="24"/>
          <w:szCs w:val="24"/>
          <w:lang w:val="en-US"/>
        </w:rPr>
        <w:t>for</w:t>
      </w:r>
      <w:r w:rsidRPr="008A7BB5">
        <w:rPr>
          <w:rFonts w:ascii="Times New Roman" w:hAnsi="Times New Roman" w:cs="Times New Roman"/>
          <w:sz w:val="24"/>
          <w:szCs w:val="24"/>
          <w:lang w:val="en-US"/>
        </w:rPr>
        <w:t xml:space="preserve"> the preferential issue shall contain all the disclosures as mentioned under Regulation 163 (1) of SEBI (ICDR) Regulations, 2018</w:t>
      </w:r>
      <w:r w:rsidR="008777BE">
        <w:rPr>
          <w:rFonts w:ascii="Times New Roman" w:hAnsi="Times New Roman" w:cs="Times New Roman"/>
          <w:sz w:val="24"/>
          <w:szCs w:val="24"/>
          <w:lang w:val="en-US"/>
        </w:rPr>
        <w:t xml:space="preserve"> including the Ultimate Beneficial Owner details.</w:t>
      </w:r>
    </w:p>
    <w:p w14:paraId="7E1E6501" w14:textId="77777777" w:rsidR="00B95D24" w:rsidRPr="008A7BB5" w:rsidRDefault="00B95D24" w:rsidP="00B95D24">
      <w:pPr>
        <w:pStyle w:val="ListParagraph"/>
        <w:ind w:left="284" w:hanging="284"/>
        <w:jc w:val="both"/>
        <w:rPr>
          <w:rFonts w:ascii="Times New Roman" w:hAnsi="Times New Roman" w:cs="Times New Roman"/>
          <w:sz w:val="24"/>
          <w:szCs w:val="24"/>
          <w:lang w:val="en-US"/>
        </w:rPr>
      </w:pPr>
    </w:p>
    <w:p w14:paraId="2F3F9C9D" w14:textId="4458561A" w:rsidR="00B95D24" w:rsidRPr="008D56F6" w:rsidRDefault="00B95D24" w:rsidP="00B95D24">
      <w:pPr>
        <w:pStyle w:val="ListParagraph"/>
        <w:numPr>
          <w:ilvl w:val="0"/>
          <w:numId w:val="1"/>
        </w:numPr>
        <w:ind w:left="284" w:hanging="284"/>
        <w:jc w:val="both"/>
        <w:rPr>
          <w:rFonts w:ascii="Times New Roman" w:hAnsi="Times New Roman" w:cs="Times New Roman"/>
          <w:sz w:val="24"/>
          <w:szCs w:val="24"/>
          <w:lang w:val="en-US"/>
        </w:rPr>
      </w:pPr>
      <w:r w:rsidRPr="008D56F6">
        <w:rPr>
          <w:rFonts w:ascii="Times New Roman" w:hAnsi="Times New Roman" w:cs="Times New Roman"/>
          <w:sz w:val="24"/>
          <w:szCs w:val="24"/>
          <w:lang w:val="en-US"/>
        </w:rPr>
        <w:t>If the Issue size exceeds 100 crores, ensure compliance with</w:t>
      </w:r>
      <w:r w:rsidR="008D56F6" w:rsidRPr="008D56F6">
        <w:rPr>
          <w:rFonts w:ascii="Times New Roman" w:hAnsi="Times New Roman" w:cs="Times New Roman"/>
          <w:sz w:val="24"/>
          <w:szCs w:val="24"/>
          <w:lang w:val="en-US"/>
        </w:rPr>
        <w:t xml:space="preserve"> </w:t>
      </w:r>
      <w:r w:rsidR="00E74D79">
        <w:rPr>
          <w:rFonts w:ascii="Times New Roman" w:hAnsi="Times New Roman" w:cs="Times New Roman"/>
          <w:sz w:val="24"/>
          <w:szCs w:val="24"/>
          <w:lang w:val="en-US"/>
        </w:rPr>
        <w:t>item</w:t>
      </w:r>
      <w:r w:rsidR="008D56F6" w:rsidRPr="008D56F6">
        <w:rPr>
          <w:rFonts w:ascii="Times New Roman" w:hAnsi="Times New Roman" w:cs="Times New Roman"/>
          <w:sz w:val="24"/>
          <w:szCs w:val="24"/>
          <w:lang w:val="en-US"/>
        </w:rPr>
        <w:t xml:space="preserve"> </w:t>
      </w:r>
      <w:r w:rsidR="00E74D79">
        <w:rPr>
          <w:rFonts w:ascii="Times New Roman" w:hAnsi="Times New Roman" w:cs="Times New Roman"/>
          <w:sz w:val="24"/>
          <w:szCs w:val="24"/>
          <w:lang w:val="en-US"/>
        </w:rPr>
        <w:t>n</w:t>
      </w:r>
      <w:r w:rsidR="008D56F6" w:rsidRPr="008D56F6">
        <w:rPr>
          <w:rFonts w:ascii="Times New Roman" w:hAnsi="Times New Roman" w:cs="Times New Roman"/>
          <w:sz w:val="24"/>
          <w:szCs w:val="24"/>
          <w:lang w:val="en-US"/>
        </w:rPr>
        <w:t xml:space="preserve">o. 3.2 of </w:t>
      </w:r>
      <w:r w:rsidR="00E74D79">
        <w:rPr>
          <w:rFonts w:ascii="Times New Roman" w:hAnsi="Times New Roman" w:cs="Times New Roman"/>
          <w:sz w:val="24"/>
          <w:szCs w:val="24"/>
          <w:lang w:val="en-US"/>
        </w:rPr>
        <w:t>a</w:t>
      </w:r>
      <w:r w:rsidR="008D56F6" w:rsidRPr="008D56F6">
        <w:rPr>
          <w:rFonts w:ascii="Times New Roman" w:hAnsi="Times New Roman" w:cs="Times New Roman"/>
          <w:sz w:val="24"/>
          <w:szCs w:val="24"/>
          <w:lang w:val="en-US"/>
        </w:rPr>
        <w:t>nnexure A of NSE</w:t>
      </w:r>
      <w:r w:rsidRPr="008D56F6">
        <w:rPr>
          <w:rFonts w:ascii="Times New Roman" w:hAnsi="Times New Roman" w:cs="Times New Roman"/>
          <w:sz w:val="24"/>
          <w:szCs w:val="24"/>
          <w:lang w:val="en-US"/>
        </w:rPr>
        <w:t xml:space="preserve"> Circular no.</w:t>
      </w:r>
      <w:r w:rsidR="008D56F6" w:rsidRPr="008D56F6">
        <w:rPr>
          <w:rFonts w:ascii="Times New Roman" w:hAnsi="Times New Roman" w:cs="Times New Roman"/>
          <w:sz w:val="24"/>
          <w:szCs w:val="24"/>
          <w:lang w:val="en-US"/>
        </w:rPr>
        <w:t xml:space="preserve"> NSE/CML/2023/51 dated July 05,2023</w:t>
      </w:r>
      <w:r w:rsidRPr="008D56F6">
        <w:rPr>
          <w:rFonts w:ascii="Times New Roman" w:hAnsi="Times New Roman" w:cs="Times New Roman"/>
          <w:sz w:val="24"/>
          <w:szCs w:val="24"/>
          <w:lang w:val="en-US"/>
        </w:rPr>
        <w:t>.</w:t>
      </w:r>
    </w:p>
    <w:p w14:paraId="082D2FA7" w14:textId="77777777"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11C686C7" w14:textId="29F7C4AA" w:rsidR="006832CD" w:rsidRPr="005A7EAB" w:rsidRDefault="00946204" w:rsidP="00231B03">
      <w:pPr>
        <w:pStyle w:val="ListParagraph"/>
        <w:numPr>
          <w:ilvl w:val="0"/>
          <w:numId w:val="1"/>
        </w:numPr>
        <w:ind w:left="284" w:hanging="284"/>
        <w:jc w:val="both"/>
        <w:rPr>
          <w:rFonts w:ascii="Times New Roman" w:hAnsi="Times New Roman" w:cs="Times New Roman"/>
          <w:sz w:val="24"/>
          <w:szCs w:val="24"/>
          <w:lang w:val="en-US"/>
        </w:rPr>
      </w:pPr>
      <w:r w:rsidRPr="005A7EAB">
        <w:rPr>
          <w:rFonts w:ascii="Times New Roman" w:hAnsi="Times New Roman" w:cs="Times New Roman"/>
          <w:sz w:val="24"/>
          <w:szCs w:val="24"/>
          <w:lang w:val="en-US"/>
        </w:rPr>
        <w:t xml:space="preserve">Ensure compliance </w:t>
      </w:r>
      <w:r w:rsidR="00063DD7" w:rsidRPr="005A7EAB">
        <w:rPr>
          <w:rFonts w:ascii="Times New Roman" w:hAnsi="Times New Roman" w:cs="Times New Roman"/>
          <w:sz w:val="24"/>
          <w:szCs w:val="24"/>
          <w:lang w:val="en-US"/>
        </w:rPr>
        <w:t xml:space="preserve">with </w:t>
      </w:r>
      <w:r w:rsidR="00E74D79">
        <w:rPr>
          <w:rFonts w:ascii="Times New Roman" w:hAnsi="Times New Roman" w:cs="Times New Roman"/>
          <w:sz w:val="24"/>
          <w:szCs w:val="24"/>
          <w:lang w:val="en-US"/>
        </w:rPr>
        <w:t>item</w:t>
      </w:r>
      <w:r w:rsidR="008D56F6" w:rsidRPr="008D56F6">
        <w:rPr>
          <w:rFonts w:ascii="Times New Roman" w:hAnsi="Times New Roman" w:cs="Times New Roman"/>
          <w:sz w:val="24"/>
          <w:szCs w:val="24"/>
          <w:lang w:val="en-US"/>
        </w:rPr>
        <w:t xml:space="preserve"> </w:t>
      </w:r>
      <w:r w:rsidR="00E74D79">
        <w:rPr>
          <w:rFonts w:ascii="Times New Roman" w:hAnsi="Times New Roman" w:cs="Times New Roman"/>
          <w:sz w:val="24"/>
          <w:szCs w:val="24"/>
          <w:lang w:val="en-US"/>
        </w:rPr>
        <w:t>n</w:t>
      </w:r>
      <w:r w:rsidR="008D56F6" w:rsidRPr="008D56F6">
        <w:rPr>
          <w:rFonts w:ascii="Times New Roman" w:hAnsi="Times New Roman" w:cs="Times New Roman"/>
          <w:sz w:val="24"/>
          <w:szCs w:val="24"/>
          <w:lang w:val="en-US"/>
        </w:rPr>
        <w:t>o. 3.</w:t>
      </w:r>
      <w:r w:rsidR="008D56F6">
        <w:rPr>
          <w:rFonts w:ascii="Times New Roman" w:hAnsi="Times New Roman" w:cs="Times New Roman"/>
          <w:sz w:val="24"/>
          <w:szCs w:val="24"/>
          <w:lang w:val="en-US"/>
        </w:rPr>
        <w:t>1</w:t>
      </w:r>
      <w:r w:rsidR="008D56F6" w:rsidRPr="008D56F6">
        <w:rPr>
          <w:rFonts w:ascii="Times New Roman" w:hAnsi="Times New Roman" w:cs="Times New Roman"/>
          <w:sz w:val="24"/>
          <w:szCs w:val="24"/>
          <w:lang w:val="en-US"/>
        </w:rPr>
        <w:t xml:space="preserve"> of </w:t>
      </w:r>
      <w:r w:rsidR="00E74D79">
        <w:rPr>
          <w:rFonts w:ascii="Times New Roman" w:hAnsi="Times New Roman" w:cs="Times New Roman"/>
          <w:sz w:val="24"/>
          <w:szCs w:val="24"/>
          <w:lang w:val="en-US"/>
        </w:rPr>
        <w:t>a</w:t>
      </w:r>
      <w:r w:rsidR="008D56F6" w:rsidRPr="008D56F6">
        <w:rPr>
          <w:rFonts w:ascii="Times New Roman" w:hAnsi="Times New Roman" w:cs="Times New Roman"/>
          <w:sz w:val="24"/>
          <w:szCs w:val="24"/>
          <w:lang w:val="en-US"/>
        </w:rPr>
        <w:t>nnexure A of NSE Circular no. NSE/CML/2023/51 dated July 05, 2023</w:t>
      </w:r>
      <w:r w:rsidR="008D56F6">
        <w:rPr>
          <w:rFonts w:ascii="Times New Roman" w:hAnsi="Times New Roman" w:cs="Times New Roman"/>
          <w:sz w:val="24"/>
          <w:szCs w:val="24"/>
          <w:lang w:val="en-US"/>
        </w:rPr>
        <w:t xml:space="preserve"> </w:t>
      </w:r>
      <w:r w:rsidR="008D56F6" w:rsidRPr="008D56F6">
        <w:rPr>
          <w:rFonts w:ascii="Times New Roman" w:hAnsi="Times New Roman" w:cs="Times New Roman"/>
          <w:sz w:val="24"/>
          <w:szCs w:val="24"/>
          <w:lang w:val="en-US"/>
        </w:rPr>
        <w:t>and</w:t>
      </w:r>
      <w:r w:rsidR="00255B62" w:rsidRPr="005A7EAB">
        <w:rPr>
          <w:rFonts w:ascii="Times New Roman" w:hAnsi="Times New Roman" w:cs="Times New Roman"/>
          <w:sz w:val="24"/>
          <w:szCs w:val="24"/>
          <w:lang w:val="en-US"/>
        </w:rPr>
        <w:t xml:space="preserve"> upload the </w:t>
      </w:r>
      <w:r w:rsidR="006832CD" w:rsidRPr="005A7EAB">
        <w:rPr>
          <w:rFonts w:ascii="Times New Roman" w:hAnsi="Times New Roman" w:cs="Times New Roman"/>
          <w:sz w:val="24"/>
          <w:szCs w:val="24"/>
          <w:lang w:val="en-US"/>
        </w:rPr>
        <w:t xml:space="preserve">Issue summary document with either of stock exchange at time of </w:t>
      </w:r>
      <w:r w:rsidR="00FF4769" w:rsidRPr="005A7EAB">
        <w:rPr>
          <w:rFonts w:ascii="Times New Roman" w:hAnsi="Times New Roman" w:cs="Times New Roman"/>
          <w:sz w:val="24"/>
          <w:szCs w:val="24"/>
          <w:lang w:val="en-US"/>
        </w:rPr>
        <w:t xml:space="preserve">submitting the </w:t>
      </w:r>
      <w:r w:rsidR="006832CD" w:rsidRPr="005A7EAB">
        <w:rPr>
          <w:rFonts w:ascii="Times New Roman" w:hAnsi="Times New Roman" w:cs="Times New Roman"/>
          <w:sz w:val="24"/>
          <w:szCs w:val="24"/>
          <w:lang w:val="en-US"/>
        </w:rPr>
        <w:t>application.</w:t>
      </w:r>
    </w:p>
    <w:p w14:paraId="5E6C5701" w14:textId="77777777"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7E3C2C86" w14:textId="5DA2C46D" w:rsidR="00111A18" w:rsidRDefault="00946204" w:rsidP="00111A18">
      <w:pPr>
        <w:pStyle w:val="ListParagraph"/>
        <w:numPr>
          <w:ilvl w:val="0"/>
          <w:numId w:val="1"/>
        </w:numPr>
        <w:ind w:left="284" w:hanging="284"/>
        <w:jc w:val="both"/>
        <w:rPr>
          <w:rFonts w:ascii="Times New Roman" w:hAnsi="Times New Roman" w:cs="Times New Roman"/>
          <w:sz w:val="24"/>
          <w:szCs w:val="24"/>
          <w:lang w:val="en-US"/>
        </w:rPr>
      </w:pPr>
      <w:r w:rsidRPr="005A7EAB">
        <w:rPr>
          <w:rFonts w:ascii="Times New Roman" w:hAnsi="Times New Roman" w:cs="Times New Roman"/>
          <w:sz w:val="24"/>
          <w:szCs w:val="24"/>
          <w:lang w:val="en-US"/>
        </w:rPr>
        <w:t>Ensure</w:t>
      </w:r>
      <w:r w:rsidR="006832CD" w:rsidRPr="005A7EAB">
        <w:rPr>
          <w:rFonts w:ascii="Times New Roman" w:hAnsi="Times New Roman" w:cs="Times New Roman"/>
          <w:sz w:val="24"/>
          <w:szCs w:val="24"/>
          <w:lang w:val="en-US"/>
        </w:rPr>
        <w:t xml:space="preserve"> compliance with SEBI (SAST) Regulations, 2011</w:t>
      </w:r>
      <w:r w:rsidR="003741F7">
        <w:rPr>
          <w:rFonts w:ascii="Times New Roman" w:hAnsi="Times New Roman" w:cs="Times New Roman"/>
          <w:sz w:val="24"/>
          <w:szCs w:val="24"/>
          <w:lang w:val="en-US"/>
        </w:rPr>
        <w:t xml:space="preserve"> and other applicable regulations.</w:t>
      </w:r>
    </w:p>
    <w:p w14:paraId="658515E6" w14:textId="77777777" w:rsidR="00111A18" w:rsidRPr="00111A18" w:rsidRDefault="00111A18" w:rsidP="00111A18">
      <w:pPr>
        <w:pStyle w:val="ListParagraph"/>
        <w:rPr>
          <w:rFonts w:ascii="Times New Roman" w:hAnsi="Times New Roman" w:cs="Times New Roman"/>
          <w:sz w:val="24"/>
          <w:szCs w:val="24"/>
          <w:lang w:val="en-US"/>
        </w:rPr>
      </w:pPr>
    </w:p>
    <w:p w14:paraId="14BBFB49" w14:textId="04266704" w:rsidR="00111A18" w:rsidRDefault="00946204" w:rsidP="00111A18">
      <w:pPr>
        <w:pStyle w:val="ListParagraph"/>
        <w:numPr>
          <w:ilvl w:val="0"/>
          <w:numId w:val="1"/>
        </w:numPr>
        <w:ind w:left="284" w:hanging="284"/>
        <w:jc w:val="both"/>
        <w:rPr>
          <w:rFonts w:ascii="Times New Roman" w:hAnsi="Times New Roman" w:cs="Times New Roman"/>
          <w:sz w:val="24"/>
          <w:szCs w:val="24"/>
          <w:lang w:val="en-US"/>
        </w:rPr>
      </w:pPr>
      <w:r w:rsidRPr="00111A18">
        <w:rPr>
          <w:rFonts w:ascii="Times New Roman" w:hAnsi="Times New Roman" w:cs="Times New Roman"/>
          <w:sz w:val="24"/>
          <w:szCs w:val="24"/>
          <w:lang w:val="en-US"/>
        </w:rPr>
        <w:t>Ensure</w:t>
      </w:r>
      <w:r w:rsidR="00F15DD6" w:rsidRPr="00111A18">
        <w:rPr>
          <w:rFonts w:ascii="Times New Roman" w:hAnsi="Times New Roman" w:cs="Times New Roman"/>
          <w:sz w:val="24"/>
          <w:szCs w:val="24"/>
          <w:lang w:val="en-US"/>
        </w:rPr>
        <w:t xml:space="preserve"> that all equity shares held by the proposed allottees in the issuer are</w:t>
      </w:r>
      <w:r w:rsidR="003741F7">
        <w:rPr>
          <w:rFonts w:ascii="Times New Roman" w:hAnsi="Times New Roman" w:cs="Times New Roman"/>
          <w:sz w:val="24"/>
          <w:szCs w:val="24"/>
          <w:lang w:val="en-US"/>
        </w:rPr>
        <w:t xml:space="preserve"> </w:t>
      </w:r>
      <w:r w:rsidR="00F15DD6" w:rsidRPr="00111A18">
        <w:rPr>
          <w:rFonts w:ascii="Times New Roman" w:hAnsi="Times New Roman" w:cs="Times New Roman"/>
          <w:sz w:val="24"/>
          <w:szCs w:val="24"/>
          <w:lang w:val="en-US"/>
        </w:rPr>
        <w:t>in</w:t>
      </w:r>
      <w:r w:rsidR="00E946E8" w:rsidRPr="00111A18">
        <w:rPr>
          <w:rFonts w:ascii="Times New Roman" w:hAnsi="Times New Roman" w:cs="Times New Roman"/>
          <w:sz w:val="24"/>
          <w:szCs w:val="24"/>
          <w:lang w:val="en-US"/>
        </w:rPr>
        <w:t xml:space="preserve"> </w:t>
      </w:r>
      <w:r w:rsidR="00F15DD6" w:rsidRPr="00111A18">
        <w:rPr>
          <w:rFonts w:ascii="Times New Roman" w:hAnsi="Times New Roman" w:cs="Times New Roman"/>
          <w:sz w:val="24"/>
          <w:szCs w:val="24"/>
          <w:lang w:val="en-US"/>
        </w:rPr>
        <w:t>dematerialized form</w:t>
      </w:r>
      <w:r w:rsidR="00CD0784" w:rsidRPr="00111A18">
        <w:rPr>
          <w:rFonts w:ascii="Times New Roman" w:hAnsi="Times New Roman" w:cs="Times New Roman"/>
          <w:sz w:val="24"/>
          <w:szCs w:val="24"/>
          <w:lang w:val="en-US"/>
        </w:rPr>
        <w:t xml:space="preserve">. </w:t>
      </w:r>
    </w:p>
    <w:p w14:paraId="0AA3ED39" w14:textId="77777777" w:rsidR="00111A18" w:rsidRPr="00111A18" w:rsidRDefault="00111A18" w:rsidP="00111A18">
      <w:pPr>
        <w:pStyle w:val="ListParagraph"/>
        <w:rPr>
          <w:rFonts w:ascii="Times New Roman" w:hAnsi="Times New Roman" w:cs="Times New Roman"/>
          <w:sz w:val="24"/>
          <w:szCs w:val="24"/>
        </w:rPr>
      </w:pPr>
    </w:p>
    <w:p w14:paraId="328A047A" w14:textId="007C29E4" w:rsidR="00111A18" w:rsidRPr="00111A18" w:rsidRDefault="00111A18" w:rsidP="00111A18">
      <w:pPr>
        <w:pStyle w:val="ListParagraph"/>
        <w:numPr>
          <w:ilvl w:val="0"/>
          <w:numId w:val="1"/>
        </w:numPr>
        <w:ind w:left="284" w:hanging="284"/>
        <w:jc w:val="both"/>
        <w:rPr>
          <w:rFonts w:ascii="Times New Roman" w:hAnsi="Times New Roman" w:cs="Times New Roman"/>
          <w:sz w:val="24"/>
          <w:szCs w:val="24"/>
          <w:lang w:val="en-US"/>
        </w:rPr>
      </w:pPr>
      <w:r w:rsidRPr="00111A18">
        <w:rPr>
          <w:rFonts w:ascii="Times New Roman" w:hAnsi="Times New Roman" w:cs="Times New Roman"/>
          <w:sz w:val="24"/>
          <w:szCs w:val="24"/>
        </w:rPr>
        <w:t>The tenure of the convertible securities of the issuer shall not exceed eighteen months from the date of their allotment</w:t>
      </w:r>
      <w:r w:rsidR="005304C1">
        <w:rPr>
          <w:rFonts w:ascii="Times New Roman" w:hAnsi="Times New Roman" w:cs="Times New Roman"/>
          <w:sz w:val="24"/>
          <w:szCs w:val="24"/>
        </w:rPr>
        <w:t>.</w:t>
      </w:r>
    </w:p>
    <w:p w14:paraId="11FE00A8" w14:textId="77777777" w:rsidR="005E76A9" w:rsidRPr="005E76A9" w:rsidRDefault="005E76A9" w:rsidP="005E76A9">
      <w:pPr>
        <w:pStyle w:val="ListParagraph"/>
        <w:rPr>
          <w:rFonts w:ascii="Times New Roman" w:hAnsi="Times New Roman" w:cs="Times New Roman"/>
          <w:sz w:val="24"/>
          <w:szCs w:val="24"/>
          <w:lang w:val="en-US"/>
        </w:rPr>
      </w:pPr>
    </w:p>
    <w:p w14:paraId="46700825" w14:textId="504AA99E" w:rsidR="005E76A9" w:rsidRDefault="005E76A9" w:rsidP="005E76A9">
      <w:pPr>
        <w:pStyle w:val="ListParagraph"/>
        <w:numPr>
          <w:ilvl w:val="0"/>
          <w:numId w:val="8"/>
        </w:numPr>
        <w:autoSpaceDE w:val="0"/>
        <w:autoSpaceDN w:val="0"/>
        <w:adjustRightInd w:val="0"/>
        <w:spacing w:after="0" w:line="240" w:lineRule="auto"/>
        <w:ind w:left="284" w:hanging="284"/>
        <w:jc w:val="both"/>
        <w:rPr>
          <w:rFonts w:ascii="Times New Roman" w:hAnsi="Times New Roman" w:cs="Times New Roman"/>
          <w:sz w:val="24"/>
          <w:szCs w:val="24"/>
        </w:rPr>
      </w:pPr>
      <w:r w:rsidRPr="005A7EAB">
        <w:rPr>
          <w:rFonts w:ascii="Times New Roman" w:hAnsi="Times New Roman" w:cs="Times New Roman"/>
          <w:sz w:val="24"/>
          <w:szCs w:val="24"/>
        </w:rPr>
        <w:t>Allottee shall not have sold or transferred any equity shares of the company during the 90 trading days preceding the relevant date.</w:t>
      </w:r>
    </w:p>
    <w:p w14:paraId="5B59EFD5" w14:textId="77777777" w:rsidR="003741F7" w:rsidRPr="005A7EAB" w:rsidRDefault="003741F7" w:rsidP="003741F7">
      <w:pPr>
        <w:pStyle w:val="ListParagraph"/>
        <w:autoSpaceDE w:val="0"/>
        <w:autoSpaceDN w:val="0"/>
        <w:adjustRightInd w:val="0"/>
        <w:spacing w:after="0" w:line="240" w:lineRule="auto"/>
        <w:ind w:left="284"/>
        <w:jc w:val="both"/>
        <w:rPr>
          <w:rFonts w:ascii="Times New Roman" w:hAnsi="Times New Roman" w:cs="Times New Roman"/>
          <w:sz w:val="24"/>
          <w:szCs w:val="24"/>
        </w:rPr>
      </w:pPr>
    </w:p>
    <w:p w14:paraId="3756A4D3" w14:textId="46DBD7C5" w:rsidR="005E76A9" w:rsidRPr="005E76A9" w:rsidRDefault="005E76A9" w:rsidP="005E76A9">
      <w:pPr>
        <w:pStyle w:val="ListParagraph"/>
        <w:autoSpaceDE w:val="0"/>
        <w:autoSpaceDN w:val="0"/>
        <w:adjustRightInd w:val="0"/>
        <w:spacing w:after="0" w:line="240" w:lineRule="auto"/>
        <w:ind w:left="284"/>
        <w:jc w:val="both"/>
        <w:rPr>
          <w:rFonts w:ascii="Times New Roman" w:hAnsi="Times New Roman" w:cs="Times New Roman"/>
          <w:sz w:val="24"/>
          <w:szCs w:val="24"/>
        </w:rPr>
      </w:pPr>
      <w:r w:rsidRPr="005A7EAB">
        <w:rPr>
          <w:rFonts w:ascii="Times New Roman" w:hAnsi="Times New Roman" w:cs="Times New Roman"/>
          <w:sz w:val="24"/>
          <w:szCs w:val="24"/>
        </w:rPr>
        <w:t>Note: Where any person belonging to promoter(s) or the promoter group has sold/transferred their equity shares of the company during the 90 trading days preceding the relevant date, the entire promoter(s) and promoter group shall be ineligible for allotment of specified securities on preferential basis.</w:t>
      </w:r>
    </w:p>
    <w:p w14:paraId="5FDFBDF3" w14:textId="77777777" w:rsidR="005D2BCA" w:rsidRPr="005A7EAB" w:rsidRDefault="005D2BCA" w:rsidP="00231B03">
      <w:pPr>
        <w:pStyle w:val="ListParagraph"/>
        <w:ind w:left="284" w:hanging="284"/>
        <w:rPr>
          <w:rFonts w:ascii="Times New Roman" w:hAnsi="Times New Roman" w:cs="Times New Roman"/>
          <w:sz w:val="24"/>
          <w:szCs w:val="24"/>
        </w:rPr>
      </w:pPr>
    </w:p>
    <w:p w14:paraId="71E14010" w14:textId="2452ABA0" w:rsidR="00121AED" w:rsidRPr="005A7EAB" w:rsidRDefault="005D2BCA" w:rsidP="00231B03">
      <w:pPr>
        <w:pStyle w:val="ListParagraph"/>
        <w:numPr>
          <w:ilvl w:val="0"/>
          <w:numId w:val="1"/>
        </w:numPr>
        <w:ind w:left="284" w:hanging="284"/>
        <w:jc w:val="both"/>
        <w:rPr>
          <w:rFonts w:ascii="Times New Roman" w:hAnsi="Times New Roman" w:cs="Times New Roman"/>
          <w:i/>
          <w:iCs/>
          <w:sz w:val="24"/>
          <w:szCs w:val="24"/>
        </w:rPr>
      </w:pPr>
      <w:r w:rsidRPr="005A7EAB">
        <w:rPr>
          <w:rFonts w:ascii="Times New Roman" w:hAnsi="Times New Roman" w:cs="Times New Roman"/>
          <w:sz w:val="24"/>
          <w:szCs w:val="24"/>
          <w:lang w:val="en-US"/>
        </w:rPr>
        <w:t xml:space="preserve">90 / 10 trading days volume weighted average price shall be calculated </w:t>
      </w:r>
      <w:r w:rsidR="00121AED" w:rsidRPr="005A7EAB">
        <w:rPr>
          <w:rFonts w:ascii="Times New Roman" w:hAnsi="Times New Roman" w:cs="Times New Roman"/>
          <w:sz w:val="24"/>
          <w:szCs w:val="24"/>
          <w:lang w:val="en-US"/>
        </w:rPr>
        <w:t>by taking into consideration aggregate daily turnover in the scrip over the period of 90/10 trading days and dividing the same by the total number of shares traded during the said period.</w:t>
      </w:r>
      <w:r w:rsidR="00121AED" w:rsidRPr="005A7EAB">
        <w:rPr>
          <w:rFonts w:ascii="Times New Roman" w:hAnsi="Times New Roman" w:cs="Times New Roman"/>
          <w:i/>
          <w:iCs/>
          <w:sz w:val="24"/>
          <w:szCs w:val="24"/>
        </w:rPr>
        <w:t xml:space="preserve"> </w:t>
      </w:r>
    </w:p>
    <w:p w14:paraId="2AC5C897" w14:textId="77777777" w:rsidR="00121AED" w:rsidRPr="005A7EAB" w:rsidRDefault="00121AED" w:rsidP="005A078D">
      <w:pPr>
        <w:pStyle w:val="xmsolistparagraph"/>
        <w:ind w:left="709"/>
        <w:rPr>
          <w:rFonts w:ascii="Times New Roman" w:hAnsi="Times New Roman" w:cs="Times New Roman"/>
          <w:i/>
          <w:iCs/>
          <w:sz w:val="24"/>
          <w:szCs w:val="24"/>
        </w:rPr>
      </w:pPr>
      <w:r w:rsidRPr="005A7EAB">
        <w:rPr>
          <w:rFonts w:ascii="Times New Roman" w:hAnsi="Times New Roman" w:cs="Times New Roman"/>
          <w:i/>
          <w:iCs/>
          <w:sz w:val="24"/>
          <w:szCs w:val="24"/>
        </w:rPr>
        <w:t>E.g.:- for 90 trading days</w:t>
      </w:r>
    </w:p>
    <w:tbl>
      <w:tblPr>
        <w:tblW w:w="2977" w:type="dxa"/>
        <w:tblInd w:w="709" w:type="dxa"/>
        <w:tblCellMar>
          <w:left w:w="0" w:type="dxa"/>
          <w:right w:w="0" w:type="dxa"/>
        </w:tblCellMar>
        <w:tblLook w:val="04A0" w:firstRow="1" w:lastRow="0" w:firstColumn="1" w:lastColumn="0" w:noHBand="0" w:noVBand="1"/>
      </w:tblPr>
      <w:tblGrid>
        <w:gridCol w:w="2977"/>
      </w:tblGrid>
      <w:tr w:rsidR="00121AED" w:rsidRPr="005A7EAB" w14:paraId="09B79F44" w14:textId="77777777" w:rsidTr="00231B03">
        <w:trPr>
          <w:trHeight w:val="300"/>
        </w:trPr>
        <w:tc>
          <w:tcPr>
            <w:tcW w:w="2977" w:type="dxa"/>
            <w:tcBorders>
              <w:top w:val="nil"/>
              <w:left w:val="nil"/>
              <w:bottom w:val="single" w:sz="8" w:space="0" w:color="auto"/>
              <w:right w:val="nil"/>
            </w:tcBorders>
            <w:noWrap/>
            <w:tcMar>
              <w:top w:w="0" w:type="dxa"/>
              <w:left w:w="108" w:type="dxa"/>
              <w:bottom w:w="0" w:type="dxa"/>
              <w:right w:w="108" w:type="dxa"/>
            </w:tcMar>
            <w:vAlign w:val="bottom"/>
            <w:hideMark/>
          </w:tcPr>
          <w:p w14:paraId="00AD0C25" w14:textId="77777777" w:rsidR="00121AED" w:rsidRPr="005A7EAB" w:rsidRDefault="00121AED" w:rsidP="00231B03">
            <w:pPr>
              <w:pStyle w:val="xmsonormal"/>
              <w:jc w:val="center"/>
              <w:rPr>
                <w:rFonts w:ascii="Times New Roman" w:hAnsi="Times New Roman" w:cs="Times New Roman"/>
                <w:i/>
                <w:iCs/>
                <w:sz w:val="24"/>
                <w:szCs w:val="24"/>
              </w:rPr>
            </w:pPr>
            <w:r w:rsidRPr="005A7EAB">
              <w:rPr>
                <w:rFonts w:ascii="Times New Roman" w:hAnsi="Times New Roman" w:cs="Times New Roman"/>
                <w:i/>
                <w:iCs/>
                <w:sz w:val="24"/>
                <w:szCs w:val="24"/>
              </w:rPr>
              <w:t>TO1+TO2+ …… + TO90</w:t>
            </w:r>
          </w:p>
        </w:tc>
      </w:tr>
      <w:tr w:rsidR="00121AED" w:rsidRPr="005A7EAB" w14:paraId="2CA5B78C" w14:textId="77777777" w:rsidTr="00231B03">
        <w:trPr>
          <w:trHeight w:val="300"/>
        </w:trPr>
        <w:tc>
          <w:tcPr>
            <w:tcW w:w="2977" w:type="dxa"/>
            <w:noWrap/>
            <w:tcMar>
              <w:top w:w="0" w:type="dxa"/>
              <w:left w:w="108" w:type="dxa"/>
              <w:bottom w:w="0" w:type="dxa"/>
              <w:right w:w="108" w:type="dxa"/>
            </w:tcMar>
            <w:hideMark/>
          </w:tcPr>
          <w:p w14:paraId="6465B38B" w14:textId="77777777" w:rsidR="00121AED" w:rsidRPr="005A7EAB" w:rsidRDefault="00121AED" w:rsidP="005A078D">
            <w:pPr>
              <w:pStyle w:val="xmsonormal"/>
              <w:ind w:left="-111"/>
              <w:jc w:val="center"/>
              <w:rPr>
                <w:rFonts w:ascii="Times New Roman" w:hAnsi="Times New Roman" w:cs="Times New Roman"/>
                <w:i/>
                <w:iCs/>
                <w:sz w:val="24"/>
                <w:szCs w:val="24"/>
              </w:rPr>
            </w:pPr>
            <w:r w:rsidRPr="005A7EAB">
              <w:rPr>
                <w:rFonts w:ascii="Times New Roman" w:hAnsi="Times New Roman" w:cs="Times New Roman"/>
                <w:i/>
                <w:iCs/>
                <w:sz w:val="24"/>
                <w:szCs w:val="24"/>
              </w:rPr>
              <w:t>Q1+Q2+ ………. + Q90</w:t>
            </w:r>
          </w:p>
        </w:tc>
      </w:tr>
    </w:tbl>
    <w:p w14:paraId="6B0182D6" w14:textId="77777777" w:rsidR="005A078D" w:rsidRPr="005A7EAB" w:rsidRDefault="005A078D" w:rsidP="005A078D">
      <w:pPr>
        <w:ind w:left="709"/>
        <w:rPr>
          <w:rFonts w:ascii="Times New Roman" w:hAnsi="Times New Roman" w:cs="Times New Roman"/>
          <w:i/>
          <w:iCs/>
          <w:sz w:val="24"/>
          <w:szCs w:val="24"/>
        </w:rPr>
      </w:pPr>
      <w:r w:rsidRPr="005A7EAB">
        <w:rPr>
          <w:rFonts w:ascii="Times New Roman" w:hAnsi="Times New Roman" w:cs="Times New Roman"/>
          <w:i/>
          <w:iCs/>
          <w:sz w:val="24"/>
          <w:szCs w:val="24"/>
        </w:rPr>
        <w:t>in case the relevant script has been traded for 85 days out of total 90 trading days of the market, the calculation shall be like</w:t>
      </w:r>
    </w:p>
    <w:tbl>
      <w:tblPr>
        <w:tblW w:w="2700" w:type="dxa"/>
        <w:tblInd w:w="567" w:type="dxa"/>
        <w:shd w:val="clear" w:color="auto" w:fill="FFFFFF"/>
        <w:tblCellMar>
          <w:left w:w="0" w:type="dxa"/>
          <w:right w:w="0" w:type="dxa"/>
        </w:tblCellMar>
        <w:tblLook w:val="04A0" w:firstRow="1" w:lastRow="0" w:firstColumn="1" w:lastColumn="0" w:noHBand="0" w:noVBand="1"/>
      </w:tblPr>
      <w:tblGrid>
        <w:gridCol w:w="2700"/>
      </w:tblGrid>
      <w:tr w:rsidR="005A078D" w:rsidRPr="005A7EAB" w14:paraId="464002B3" w14:textId="77777777" w:rsidTr="00231B03">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34053145" w14:textId="77777777" w:rsidR="005A078D" w:rsidRPr="005A7EAB" w:rsidRDefault="005A078D" w:rsidP="00231B03">
            <w:pPr>
              <w:pStyle w:val="xmsonormal"/>
              <w:ind w:left="-108"/>
              <w:jc w:val="center"/>
              <w:rPr>
                <w:rFonts w:ascii="Times New Roman" w:hAnsi="Times New Roman" w:cs="Times New Roman"/>
                <w:i/>
                <w:iCs/>
                <w:sz w:val="24"/>
                <w:szCs w:val="24"/>
              </w:rPr>
            </w:pPr>
            <w:r w:rsidRPr="005A7EAB">
              <w:rPr>
                <w:rFonts w:ascii="Times New Roman" w:hAnsi="Times New Roman" w:cs="Times New Roman"/>
                <w:i/>
                <w:iCs/>
                <w:sz w:val="24"/>
                <w:szCs w:val="24"/>
              </w:rPr>
              <w:t>TO1+TO2+ …… + TO</w:t>
            </w:r>
            <w:r w:rsidRPr="005A7EAB">
              <w:rPr>
                <w:rFonts w:ascii="Times New Roman" w:hAnsi="Times New Roman" w:cs="Times New Roman"/>
                <w:i/>
                <w:iCs/>
                <w:color w:val="000000"/>
                <w:sz w:val="24"/>
                <w:szCs w:val="24"/>
              </w:rPr>
              <w:t>85</w:t>
            </w:r>
          </w:p>
        </w:tc>
      </w:tr>
      <w:tr w:rsidR="005A078D" w:rsidRPr="005A7EAB" w14:paraId="4639A908" w14:textId="77777777" w:rsidTr="00231B03">
        <w:trPr>
          <w:trHeight w:val="300"/>
        </w:trPr>
        <w:tc>
          <w:tcPr>
            <w:tcW w:w="2700" w:type="dxa"/>
            <w:shd w:val="clear" w:color="auto" w:fill="FFFFFF"/>
            <w:tcMar>
              <w:top w:w="0" w:type="dxa"/>
              <w:left w:w="108" w:type="dxa"/>
              <w:bottom w:w="0" w:type="dxa"/>
              <w:right w:w="108" w:type="dxa"/>
            </w:tcMar>
            <w:hideMark/>
          </w:tcPr>
          <w:p w14:paraId="20B476AE" w14:textId="77777777" w:rsidR="005A078D" w:rsidRPr="005A7EAB" w:rsidRDefault="005A078D" w:rsidP="005A078D">
            <w:pPr>
              <w:pStyle w:val="xmsonormal"/>
              <w:jc w:val="center"/>
              <w:rPr>
                <w:rFonts w:ascii="Times New Roman" w:hAnsi="Times New Roman" w:cs="Times New Roman"/>
                <w:i/>
                <w:iCs/>
                <w:sz w:val="24"/>
                <w:szCs w:val="24"/>
              </w:rPr>
            </w:pPr>
            <w:r w:rsidRPr="005A7EAB">
              <w:rPr>
                <w:rFonts w:ascii="Times New Roman" w:hAnsi="Times New Roman" w:cs="Times New Roman"/>
                <w:i/>
                <w:iCs/>
                <w:color w:val="000000"/>
                <w:sz w:val="24"/>
                <w:szCs w:val="24"/>
              </w:rPr>
              <w:t>Q1+Q2+ ………. + Q85</w:t>
            </w:r>
          </w:p>
        </w:tc>
      </w:tr>
    </w:tbl>
    <w:p w14:paraId="2D167E1C" w14:textId="1A0E729A" w:rsidR="005A078D" w:rsidRPr="005A7EAB" w:rsidRDefault="005A078D" w:rsidP="005A078D">
      <w:pPr>
        <w:ind w:left="709"/>
        <w:rPr>
          <w:rFonts w:ascii="Times New Roman" w:hAnsi="Times New Roman" w:cs="Times New Roman"/>
          <w:i/>
          <w:iCs/>
          <w:sz w:val="24"/>
          <w:szCs w:val="24"/>
        </w:rPr>
      </w:pPr>
      <w:r w:rsidRPr="005A7EAB">
        <w:rPr>
          <w:rFonts w:ascii="Times New Roman" w:hAnsi="Times New Roman" w:cs="Times New Roman"/>
          <w:i/>
          <w:iCs/>
          <w:color w:val="000000"/>
          <w:sz w:val="24"/>
          <w:szCs w:val="24"/>
        </w:rPr>
        <w:t>assuming the script has not traded between trading day 2 and trading day 90 for 5 trading days. </w:t>
      </w:r>
      <w:r w:rsidRPr="005A7EAB">
        <w:rPr>
          <w:rFonts w:ascii="Times New Roman" w:hAnsi="Times New Roman" w:cs="Times New Roman"/>
          <w:i/>
          <w:iCs/>
          <w:sz w:val="24"/>
          <w:szCs w:val="24"/>
        </w:rPr>
        <w:t xml:space="preserve"> </w:t>
      </w:r>
    </w:p>
    <w:p w14:paraId="52F0C8B8" w14:textId="77777777" w:rsidR="005A078D" w:rsidRPr="005A7EAB" w:rsidRDefault="005A078D" w:rsidP="005A078D">
      <w:pPr>
        <w:spacing w:after="0"/>
        <w:ind w:left="709"/>
        <w:rPr>
          <w:rFonts w:ascii="Times New Roman" w:hAnsi="Times New Roman" w:cs="Times New Roman"/>
          <w:i/>
          <w:iCs/>
          <w:sz w:val="24"/>
          <w:szCs w:val="24"/>
        </w:rPr>
      </w:pPr>
      <w:r w:rsidRPr="005A7EAB">
        <w:rPr>
          <w:rFonts w:ascii="Times New Roman" w:hAnsi="Times New Roman" w:cs="Times New Roman"/>
          <w:i/>
          <w:iCs/>
          <w:sz w:val="24"/>
          <w:szCs w:val="24"/>
        </w:rPr>
        <w:t xml:space="preserve">Where, TOn = Total turnover in the scrip on ‘nth’ trading day </w:t>
      </w:r>
    </w:p>
    <w:p w14:paraId="5693466C" w14:textId="7A511ECB" w:rsidR="005A078D" w:rsidRPr="005A7EAB" w:rsidRDefault="005A078D" w:rsidP="005A078D">
      <w:pPr>
        <w:pStyle w:val="ListParagraph"/>
        <w:ind w:left="1418"/>
        <w:jc w:val="both"/>
        <w:rPr>
          <w:rFonts w:ascii="Times New Roman" w:hAnsi="Times New Roman" w:cs="Times New Roman"/>
          <w:i/>
          <w:iCs/>
          <w:sz w:val="24"/>
          <w:szCs w:val="24"/>
        </w:rPr>
      </w:pPr>
      <w:r w:rsidRPr="005A7EAB">
        <w:rPr>
          <w:rFonts w:ascii="Times New Roman" w:hAnsi="Times New Roman" w:cs="Times New Roman"/>
          <w:i/>
          <w:iCs/>
          <w:sz w:val="24"/>
          <w:szCs w:val="24"/>
        </w:rPr>
        <w:t>Qn = Number of shares of the scrip traded on ‘nth’ trading day</w:t>
      </w:r>
    </w:p>
    <w:p w14:paraId="3A050CD4" w14:textId="77777777" w:rsidR="005A078D" w:rsidRPr="005A7EAB" w:rsidRDefault="005A078D" w:rsidP="005A078D">
      <w:pPr>
        <w:pStyle w:val="ListParagraph"/>
        <w:ind w:left="709"/>
        <w:jc w:val="both"/>
        <w:rPr>
          <w:rFonts w:ascii="Times New Roman" w:hAnsi="Times New Roman" w:cs="Times New Roman"/>
          <w:sz w:val="24"/>
          <w:szCs w:val="24"/>
          <w:lang w:val="en-US"/>
        </w:rPr>
      </w:pPr>
    </w:p>
    <w:p w14:paraId="1D7BF420" w14:textId="25A650FF" w:rsidR="004C5E42" w:rsidRPr="000B56BD" w:rsidRDefault="009867E0" w:rsidP="00231B03">
      <w:pPr>
        <w:pStyle w:val="ListParagraph"/>
        <w:numPr>
          <w:ilvl w:val="0"/>
          <w:numId w:val="4"/>
        </w:numPr>
        <w:ind w:left="284" w:hanging="284"/>
        <w:jc w:val="both"/>
        <w:rPr>
          <w:rFonts w:ascii="Times New Roman" w:hAnsi="Times New Roman" w:cs="Times New Roman"/>
          <w:sz w:val="24"/>
          <w:szCs w:val="24"/>
          <w:lang w:val="en-US"/>
        </w:rPr>
      </w:pPr>
      <w:r w:rsidRPr="000B56BD">
        <w:rPr>
          <w:rFonts w:ascii="Times New Roman" w:hAnsi="Times New Roman" w:cs="Times New Roman"/>
          <w:sz w:val="24"/>
          <w:szCs w:val="24"/>
          <w:lang w:val="en-US"/>
        </w:rPr>
        <w:t xml:space="preserve">In case </w:t>
      </w:r>
      <w:r w:rsidR="00922AFB" w:rsidRPr="000B56BD">
        <w:rPr>
          <w:rFonts w:ascii="Times New Roman" w:hAnsi="Times New Roman" w:cs="Times New Roman"/>
          <w:sz w:val="24"/>
          <w:szCs w:val="24"/>
          <w:lang w:val="en-US"/>
        </w:rPr>
        <w:t>v</w:t>
      </w:r>
      <w:r w:rsidR="00FD3F43" w:rsidRPr="000B56BD">
        <w:rPr>
          <w:rFonts w:ascii="Times New Roman" w:hAnsi="Times New Roman" w:cs="Times New Roman"/>
          <w:sz w:val="24"/>
          <w:szCs w:val="24"/>
          <w:lang w:val="en-US"/>
        </w:rPr>
        <w:t xml:space="preserve">aluation </w:t>
      </w:r>
      <w:r w:rsidR="004C5E42" w:rsidRPr="000B56BD">
        <w:rPr>
          <w:rFonts w:ascii="Times New Roman" w:hAnsi="Times New Roman" w:cs="Times New Roman"/>
          <w:sz w:val="24"/>
          <w:szCs w:val="24"/>
          <w:lang w:val="en-US"/>
        </w:rPr>
        <w:t xml:space="preserve">is triggered </w:t>
      </w:r>
      <w:r w:rsidR="00922AFB" w:rsidRPr="000B56BD">
        <w:rPr>
          <w:rFonts w:ascii="Times New Roman" w:hAnsi="Times New Roman" w:cs="Times New Roman"/>
          <w:sz w:val="24"/>
          <w:szCs w:val="24"/>
          <w:lang w:val="en-US"/>
        </w:rPr>
        <w:t xml:space="preserve">in terms of any of the provisions of chapter V of SEBI (ICDR) Regulations, 2018 or pursuant to the </w:t>
      </w:r>
      <w:r w:rsidR="00DD3A40" w:rsidRPr="000B56BD">
        <w:rPr>
          <w:rFonts w:ascii="Times New Roman" w:hAnsi="Times New Roman" w:cs="Times New Roman"/>
          <w:sz w:val="24"/>
          <w:szCs w:val="24"/>
          <w:lang w:val="en-US"/>
        </w:rPr>
        <w:t>Articles of Association of the company, ensure submission of a Valuation report along with the application</w:t>
      </w:r>
      <w:r w:rsidR="003108F5" w:rsidRPr="000B56BD">
        <w:rPr>
          <w:rFonts w:ascii="Times New Roman" w:hAnsi="Times New Roman" w:cs="Times New Roman"/>
          <w:sz w:val="24"/>
          <w:szCs w:val="24"/>
          <w:lang w:val="en-US"/>
        </w:rPr>
        <w:t>. Also ensure that:</w:t>
      </w:r>
    </w:p>
    <w:p w14:paraId="1601543F" w14:textId="3E58BC75" w:rsidR="003108F5" w:rsidRPr="005A7EAB" w:rsidRDefault="003108F5" w:rsidP="00CF1842">
      <w:pPr>
        <w:pStyle w:val="ListParagraph"/>
        <w:numPr>
          <w:ilvl w:val="0"/>
          <w:numId w:val="14"/>
        </w:numPr>
        <w:ind w:left="851"/>
        <w:jc w:val="both"/>
        <w:rPr>
          <w:rFonts w:ascii="Times New Roman" w:eastAsia="Times New Roman" w:hAnsi="Times New Roman" w:cs="Times New Roman"/>
          <w:sz w:val="24"/>
          <w:szCs w:val="24"/>
        </w:rPr>
      </w:pPr>
      <w:r w:rsidRPr="005A7EAB">
        <w:rPr>
          <w:rFonts w:ascii="Times New Roman" w:eastAsia="Times New Roman" w:hAnsi="Times New Roman" w:cs="Times New Roman"/>
          <w:sz w:val="24"/>
          <w:szCs w:val="24"/>
        </w:rPr>
        <w:t>The valuation report to be submitted shall also display relative fair value per share</w:t>
      </w:r>
      <w:r w:rsidR="00C85184" w:rsidRPr="005A7EAB">
        <w:rPr>
          <w:rFonts w:ascii="Times New Roman" w:eastAsia="Times New Roman" w:hAnsi="Times New Roman" w:cs="Times New Roman"/>
          <w:sz w:val="24"/>
          <w:szCs w:val="24"/>
        </w:rPr>
        <w:t xml:space="preserve"> / </w:t>
      </w:r>
      <w:r w:rsidRPr="005A7EAB">
        <w:rPr>
          <w:rFonts w:ascii="Times New Roman" w:eastAsia="Times New Roman" w:hAnsi="Times New Roman" w:cs="Times New Roman"/>
          <w:sz w:val="24"/>
          <w:szCs w:val="24"/>
        </w:rPr>
        <w:t xml:space="preserve">fair share exchange ratio, after considering all the 3 </w:t>
      </w:r>
      <w:r w:rsidR="00A840E0" w:rsidRPr="005A7EAB">
        <w:rPr>
          <w:rFonts w:ascii="Times New Roman" w:eastAsia="Times New Roman" w:hAnsi="Times New Roman" w:cs="Times New Roman"/>
          <w:sz w:val="24"/>
          <w:szCs w:val="24"/>
        </w:rPr>
        <w:t>approaches for valuation</w:t>
      </w:r>
      <w:r w:rsidRPr="005A7EAB">
        <w:rPr>
          <w:rFonts w:ascii="Times New Roman" w:eastAsia="Times New Roman" w:hAnsi="Times New Roman" w:cs="Times New Roman"/>
          <w:sz w:val="24"/>
          <w:szCs w:val="24"/>
        </w:rPr>
        <w:t xml:space="preserve"> namely Asset Approach, Income Approach and Market Approach. </w:t>
      </w:r>
    </w:p>
    <w:p w14:paraId="4C09C057" w14:textId="77777777" w:rsidR="003108F5" w:rsidRPr="005A7EAB" w:rsidRDefault="003108F5" w:rsidP="00CF1842">
      <w:pPr>
        <w:pStyle w:val="ListParagraph"/>
        <w:numPr>
          <w:ilvl w:val="0"/>
          <w:numId w:val="14"/>
        </w:numPr>
        <w:ind w:left="851"/>
        <w:jc w:val="both"/>
        <w:rPr>
          <w:rFonts w:ascii="Times New Roman" w:eastAsia="Times New Roman" w:hAnsi="Times New Roman" w:cs="Times New Roman"/>
          <w:sz w:val="24"/>
          <w:szCs w:val="24"/>
        </w:rPr>
      </w:pPr>
      <w:r w:rsidRPr="005A7EAB">
        <w:rPr>
          <w:rFonts w:ascii="Times New Roman" w:eastAsia="Times New Roman" w:hAnsi="Times New Roman" w:cs="Times New Roman"/>
          <w:sz w:val="24"/>
          <w:szCs w:val="24"/>
        </w:rPr>
        <w:t>In case comparable company multiples method is used, the company shall provide the rationale for considering particular companies as comparable companies</w:t>
      </w:r>
    </w:p>
    <w:p w14:paraId="2AA85F74" w14:textId="37B9D3B2" w:rsidR="005D2A76" w:rsidRPr="005A7EAB" w:rsidRDefault="003108F5" w:rsidP="00CF1842">
      <w:pPr>
        <w:pStyle w:val="ListParagraph"/>
        <w:numPr>
          <w:ilvl w:val="0"/>
          <w:numId w:val="14"/>
        </w:numPr>
        <w:ind w:left="851"/>
        <w:jc w:val="both"/>
        <w:rPr>
          <w:rFonts w:ascii="Times New Roman" w:eastAsia="Times New Roman" w:hAnsi="Times New Roman" w:cs="Times New Roman"/>
          <w:sz w:val="24"/>
          <w:szCs w:val="24"/>
        </w:rPr>
      </w:pPr>
      <w:r w:rsidRPr="005A7EAB">
        <w:rPr>
          <w:rFonts w:ascii="Times New Roman" w:eastAsia="Times New Roman" w:hAnsi="Times New Roman" w:cs="Times New Roman"/>
          <w:sz w:val="24"/>
          <w:szCs w:val="24"/>
        </w:rPr>
        <w:t>In case control premium is used, company shall provide detailed working for arriving at such control premium.</w:t>
      </w:r>
    </w:p>
    <w:p w14:paraId="3549DCD2" w14:textId="77777777" w:rsidR="008138D7" w:rsidRPr="005A7EAB" w:rsidRDefault="008138D7" w:rsidP="00231B03">
      <w:pPr>
        <w:pStyle w:val="ListParagraph"/>
        <w:ind w:left="284" w:hanging="284"/>
        <w:jc w:val="both"/>
        <w:rPr>
          <w:rFonts w:ascii="Times New Roman" w:eastAsia="Times New Roman" w:hAnsi="Times New Roman" w:cs="Times New Roman"/>
          <w:sz w:val="24"/>
          <w:szCs w:val="24"/>
        </w:rPr>
      </w:pPr>
    </w:p>
    <w:p w14:paraId="75CA40EC" w14:textId="659CCA7A" w:rsidR="006C0873" w:rsidRPr="005A7EAB" w:rsidRDefault="00DB0CDF" w:rsidP="00231B03">
      <w:pPr>
        <w:pStyle w:val="ListParagraph"/>
        <w:numPr>
          <w:ilvl w:val="0"/>
          <w:numId w:val="4"/>
        </w:numPr>
        <w:ind w:left="284" w:hanging="284"/>
        <w:jc w:val="both"/>
        <w:rPr>
          <w:rFonts w:ascii="Times New Roman" w:hAnsi="Times New Roman" w:cs="Times New Roman"/>
          <w:sz w:val="24"/>
          <w:szCs w:val="24"/>
          <w:lang w:val="en-US"/>
        </w:rPr>
      </w:pPr>
      <w:r w:rsidRPr="005A7EAB">
        <w:rPr>
          <w:rFonts w:ascii="Times New Roman" w:hAnsi="Times New Roman" w:cs="Times New Roman"/>
          <w:sz w:val="24"/>
          <w:szCs w:val="24"/>
          <w:lang w:val="en-US"/>
        </w:rPr>
        <w:t xml:space="preserve">Allotment of more than 5% of the </w:t>
      </w:r>
      <w:r w:rsidR="00FD3D5E" w:rsidRPr="005A7EAB">
        <w:rPr>
          <w:rFonts w:ascii="Times New Roman" w:hAnsi="Times New Roman" w:cs="Times New Roman"/>
          <w:sz w:val="24"/>
          <w:szCs w:val="24"/>
          <w:lang w:val="en-US"/>
        </w:rPr>
        <w:t>post issue size in reference to the regulation 166A shall be determined as follows:</w:t>
      </w:r>
    </w:p>
    <w:p w14:paraId="54F29BD3" w14:textId="77777777" w:rsidR="00FD3D5E" w:rsidRPr="005A7EAB" w:rsidRDefault="00FD3D5E" w:rsidP="00231B03">
      <w:pPr>
        <w:pStyle w:val="ListParagraph"/>
        <w:ind w:left="284" w:hanging="284"/>
        <w:jc w:val="both"/>
        <w:rPr>
          <w:rFonts w:ascii="Times New Roman" w:hAnsi="Times New Roman" w:cs="Times New Roman"/>
          <w:sz w:val="24"/>
          <w:szCs w:val="24"/>
          <w:lang w:val="en-US"/>
        </w:rPr>
      </w:pPr>
    </w:p>
    <w:p w14:paraId="34E738D7" w14:textId="648E3677" w:rsidR="005D2A76" w:rsidRDefault="00FD3D5E" w:rsidP="00440501">
      <w:pPr>
        <w:pStyle w:val="ListParagraph"/>
        <w:ind w:left="284"/>
        <w:jc w:val="both"/>
        <w:rPr>
          <w:rFonts w:ascii="Times New Roman" w:hAnsi="Times New Roman" w:cs="Times New Roman"/>
          <w:i/>
          <w:iCs/>
          <w:sz w:val="24"/>
          <w:szCs w:val="24"/>
          <w:lang w:val="en-US"/>
        </w:rPr>
      </w:pPr>
      <w:r w:rsidRPr="005A7EAB">
        <w:rPr>
          <w:rFonts w:ascii="Times New Roman" w:hAnsi="Times New Roman" w:cs="Times New Roman"/>
          <w:i/>
          <w:iCs/>
          <w:sz w:val="24"/>
          <w:szCs w:val="24"/>
          <w:lang w:val="en-US"/>
        </w:rPr>
        <w:t xml:space="preserve">No. of shares being </w:t>
      </w:r>
      <w:r w:rsidR="00F53CA7" w:rsidRPr="005A7EAB">
        <w:rPr>
          <w:rFonts w:ascii="Times New Roman" w:hAnsi="Times New Roman" w:cs="Times New Roman"/>
          <w:i/>
          <w:iCs/>
          <w:sz w:val="24"/>
          <w:szCs w:val="24"/>
          <w:lang w:val="en-US"/>
        </w:rPr>
        <w:t>allotted</w:t>
      </w:r>
      <w:r w:rsidR="008D4C4A" w:rsidRPr="005A7EAB">
        <w:rPr>
          <w:rFonts w:ascii="Times New Roman" w:hAnsi="Times New Roman" w:cs="Times New Roman"/>
          <w:i/>
          <w:iCs/>
          <w:sz w:val="24"/>
          <w:szCs w:val="24"/>
          <w:lang w:val="en-US"/>
        </w:rPr>
        <w:t xml:space="preserve"> to an allotee or to allotees</w:t>
      </w:r>
      <w:r w:rsidRPr="005A7EAB">
        <w:rPr>
          <w:rFonts w:ascii="Times New Roman" w:hAnsi="Times New Roman" w:cs="Times New Roman"/>
          <w:i/>
          <w:iCs/>
          <w:sz w:val="24"/>
          <w:szCs w:val="24"/>
          <w:lang w:val="en-US"/>
        </w:rPr>
        <w:t xml:space="preserve"> </w:t>
      </w:r>
      <w:r w:rsidR="008D4C4A" w:rsidRPr="005A7EAB">
        <w:rPr>
          <w:rFonts w:ascii="Times New Roman" w:hAnsi="Times New Roman" w:cs="Times New Roman"/>
          <w:i/>
          <w:iCs/>
          <w:sz w:val="24"/>
          <w:szCs w:val="24"/>
          <w:lang w:val="en-US"/>
        </w:rPr>
        <w:t>acting in concert</w:t>
      </w:r>
      <w:r w:rsidR="00F53CA7" w:rsidRPr="005A7EAB">
        <w:rPr>
          <w:rFonts w:ascii="Times New Roman" w:hAnsi="Times New Roman" w:cs="Times New Roman"/>
          <w:i/>
          <w:iCs/>
          <w:sz w:val="24"/>
          <w:szCs w:val="24"/>
          <w:lang w:val="en-US"/>
        </w:rPr>
        <w:t xml:space="preserve"> </w:t>
      </w:r>
      <w:r w:rsidR="00D50DC1" w:rsidRPr="005A7EAB">
        <w:rPr>
          <w:rFonts w:ascii="Times New Roman" w:hAnsi="Times New Roman" w:cs="Times New Roman"/>
          <w:i/>
          <w:iCs/>
          <w:sz w:val="24"/>
          <w:szCs w:val="24"/>
          <w:lang w:val="en-US"/>
        </w:rPr>
        <w:t>/ post issue size of the company * 100</w:t>
      </w:r>
    </w:p>
    <w:p w14:paraId="4369E706" w14:textId="77777777" w:rsidR="00440501" w:rsidRPr="00440501" w:rsidRDefault="00440501" w:rsidP="00440501">
      <w:pPr>
        <w:pStyle w:val="ListParagraph"/>
        <w:ind w:left="284"/>
        <w:jc w:val="both"/>
        <w:rPr>
          <w:rFonts w:ascii="Times New Roman" w:hAnsi="Times New Roman" w:cs="Times New Roman"/>
          <w:i/>
          <w:iCs/>
          <w:sz w:val="24"/>
          <w:szCs w:val="24"/>
          <w:lang w:val="en-US"/>
        </w:rPr>
      </w:pPr>
    </w:p>
    <w:p w14:paraId="519D2F1F" w14:textId="0D1A2A7A" w:rsidR="007E77EC" w:rsidRPr="007E77EC" w:rsidRDefault="005D2A76" w:rsidP="007E77EC">
      <w:pPr>
        <w:pStyle w:val="ListParagraph"/>
        <w:numPr>
          <w:ilvl w:val="0"/>
          <w:numId w:val="4"/>
        </w:numPr>
        <w:ind w:left="284" w:hanging="284"/>
        <w:jc w:val="both"/>
        <w:rPr>
          <w:rFonts w:ascii="Times New Roman" w:hAnsi="Times New Roman" w:cs="Times New Roman"/>
          <w:sz w:val="24"/>
          <w:szCs w:val="24"/>
          <w:lang w:val="en-US"/>
        </w:rPr>
      </w:pPr>
      <w:r w:rsidRPr="005A7EAB">
        <w:rPr>
          <w:rFonts w:ascii="Times New Roman" w:hAnsi="Times New Roman" w:cs="Times New Roman"/>
          <w:sz w:val="24"/>
          <w:szCs w:val="24"/>
        </w:rPr>
        <w:t>The entire pre-preferential allotment shareholding of the allottees</w:t>
      </w:r>
      <w:r w:rsidR="007E77EC">
        <w:rPr>
          <w:rFonts w:ascii="Times New Roman" w:hAnsi="Times New Roman" w:cs="Times New Roman"/>
          <w:sz w:val="24"/>
          <w:szCs w:val="24"/>
        </w:rPr>
        <w:t xml:space="preserve"> (ie. the shareholding of the al</w:t>
      </w:r>
      <w:r w:rsidR="0097066F">
        <w:rPr>
          <w:rFonts w:ascii="Times New Roman" w:hAnsi="Times New Roman" w:cs="Times New Roman"/>
          <w:sz w:val="24"/>
          <w:szCs w:val="24"/>
        </w:rPr>
        <w:t>lotee as on the date of the allotment of the security being issued on preferential basis)</w:t>
      </w:r>
      <w:r w:rsidRPr="005A7EAB">
        <w:rPr>
          <w:rFonts w:ascii="Times New Roman" w:hAnsi="Times New Roman" w:cs="Times New Roman"/>
          <w:sz w:val="24"/>
          <w:szCs w:val="24"/>
        </w:rPr>
        <w:t xml:space="preserve">, if any, shall be locked-in </w:t>
      </w:r>
      <w:r w:rsidR="00A00113" w:rsidRPr="005A7EAB">
        <w:rPr>
          <w:rFonts w:ascii="Times New Roman" w:hAnsi="Times New Roman" w:cs="Times New Roman"/>
          <w:sz w:val="24"/>
          <w:szCs w:val="24"/>
        </w:rPr>
        <w:t xml:space="preserve">for the period as </w:t>
      </w:r>
      <w:r w:rsidR="00AE5C03">
        <w:rPr>
          <w:rFonts w:ascii="Times New Roman" w:hAnsi="Times New Roman" w:cs="Times New Roman"/>
          <w:sz w:val="24"/>
          <w:szCs w:val="24"/>
        </w:rPr>
        <w:t xml:space="preserve">stated in </w:t>
      </w:r>
      <w:r w:rsidR="00A00113" w:rsidRPr="005A7EAB">
        <w:rPr>
          <w:rFonts w:ascii="Times New Roman" w:hAnsi="Times New Roman" w:cs="Times New Roman"/>
          <w:sz w:val="24"/>
          <w:szCs w:val="24"/>
        </w:rPr>
        <w:t xml:space="preserve">regulation </w:t>
      </w:r>
      <w:r w:rsidR="00D541F8">
        <w:rPr>
          <w:rFonts w:ascii="Times New Roman" w:hAnsi="Times New Roman" w:cs="Times New Roman"/>
          <w:sz w:val="24"/>
          <w:szCs w:val="24"/>
        </w:rPr>
        <w:t>167(6) of SEBI (ICDR) Regulation, 2018.</w:t>
      </w:r>
    </w:p>
    <w:p w14:paraId="3CFAC33E" w14:textId="77777777" w:rsidR="007E77EC" w:rsidRPr="007E77EC" w:rsidRDefault="007E77EC" w:rsidP="007E77EC">
      <w:pPr>
        <w:pStyle w:val="ListParagraph"/>
        <w:ind w:left="284"/>
        <w:jc w:val="both"/>
        <w:rPr>
          <w:rFonts w:ascii="Times New Roman" w:hAnsi="Times New Roman" w:cs="Times New Roman"/>
          <w:sz w:val="24"/>
          <w:szCs w:val="24"/>
          <w:lang w:val="en-US"/>
        </w:rPr>
      </w:pPr>
    </w:p>
    <w:p w14:paraId="2E37605F" w14:textId="7A3BC9FF" w:rsidR="00DF4E80" w:rsidRPr="002D2E07" w:rsidRDefault="00AE4B2F" w:rsidP="007E77EC">
      <w:pPr>
        <w:pStyle w:val="ListParagraph"/>
        <w:numPr>
          <w:ilvl w:val="0"/>
          <w:numId w:val="4"/>
        </w:numPr>
        <w:ind w:left="284" w:hanging="284"/>
        <w:jc w:val="both"/>
        <w:rPr>
          <w:rFonts w:ascii="Times New Roman" w:hAnsi="Times New Roman" w:cs="Times New Roman"/>
          <w:sz w:val="24"/>
          <w:szCs w:val="24"/>
          <w:lang w:val="en-US"/>
        </w:rPr>
      </w:pPr>
      <w:r w:rsidRPr="002D2E07">
        <w:rPr>
          <w:rFonts w:ascii="Times New Roman" w:hAnsi="Times New Roman" w:cs="Times New Roman"/>
          <w:sz w:val="24"/>
          <w:szCs w:val="24"/>
          <w:lang w:val="en-US"/>
        </w:rPr>
        <w:t xml:space="preserve">In case the </w:t>
      </w:r>
      <w:r w:rsidRPr="002D2E07">
        <w:rPr>
          <w:rFonts w:ascii="Times New Roman" w:hAnsi="Times New Roman"/>
        </w:rPr>
        <w:t>Pre-preferential holding of the allottee is under pledge</w:t>
      </w:r>
      <w:r w:rsidR="003741F7" w:rsidRPr="002D2E07">
        <w:rPr>
          <w:rFonts w:ascii="Times New Roman" w:hAnsi="Times New Roman"/>
        </w:rPr>
        <w:t xml:space="preserve"> and Lock-in on these shares </w:t>
      </w:r>
      <w:r w:rsidR="002D2E07" w:rsidRPr="002D2E07">
        <w:rPr>
          <w:rFonts w:ascii="Times New Roman" w:hAnsi="Times New Roman"/>
        </w:rPr>
        <w:t>can’t</w:t>
      </w:r>
      <w:r w:rsidR="003741F7" w:rsidRPr="002D2E07">
        <w:rPr>
          <w:rFonts w:ascii="Times New Roman" w:hAnsi="Times New Roman"/>
        </w:rPr>
        <w:t xml:space="preserve"> be executed due to pledge, </w:t>
      </w:r>
      <w:r w:rsidRPr="002D2E07">
        <w:rPr>
          <w:rFonts w:ascii="Times New Roman" w:hAnsi="Times New Roman"/>
        </w:rPr>
        <w:t xml:space="preserve">the </w:t>
      </w:r>
      <w:r w:rsidR="003741F7" w:rsidRPr="002D2E07">
        <w:rPr>
          <w:rFonts w:ascii="Times New Roman" w:hAnsi="Times New Roman"/>
        </w:rPr>
        <w:t xml:space="preserve">shares should </w:t>
      </w:r>
      <w:r w:rsidRPr="002D2E07">
        <w:rPr>
          <w:rFonts w:ascii="Times New Roman" w:hAnsi="Times New Roman"/>
        </w:rPr>
        <w:t xml:space="preserve">be pledged with </w:t>
      </w:r>
      <w:r w:rsidR="00DF4E80" w:rsidRPr="002D2E07">
        <w:rPr>
          <w:rFonts w:ascii="Times New Roman" w:hAnsi="Times New Roman"/>
        </w:rPr>
        <w:t>Banks/ financial institutions only.</w:t>
      </w:r>
    </w:p>
    <w:p w14:paraId="2F085757" w14:textId="77777777" w:rsidR="006832CD" w:rsidRDefault="006832CD" w:rsidP="00231B03">
      <w:pPr>
        <w:pStyle w:val="ListParagraph"/>
        <w:ind w:left="284" w:hanging="284"/>
        <w:jc w:val="both"/>
        <w:rPr>
          <w:rFonts w:ascii="Times New Roman" w:hAnsi="Times New Roman" w:cs="Times New Roman"/>
          <w:sz w:val="24"/>
          <w:szCs w:val="24"/>
          <w:lang w:val="en-US"/>
        </w:rPr>
      </w:pPr>
    </w:p>
    <w:p w14:paraId="3D13206B" w14:textId="6C86DC9C" w:rsidR="00466C6E" w:rsidRPr="00B853E0" w:rsidRDefault="00466C6E" w:rsidP="00B853E0">
      <w:pPr>
        <w:pStyle w:val="ListParagraph"/>
        <w:numPr>
          <w:ilvl w:val="0"/>
          <w:numId w:val="4"/>
        </w:numPr>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6832CD" w:rsidRPr="005A7EAB">
        <w:rPr>
          <w:rFonts w:ascii="Times New Roman" w:hAnsi="Times New Roman" w:cs="Times New Roman"/>
          <w:sz w:val="24"/>
          <w:szCs w:val="24"/>
          <w:lang w:val="en-US"/>
        </w:rPr>
        <w:t xml:space="preserve">ransaction statement </w:t>
      </w:r>
      <w:r>
        <w:rPr>
          <w:rFonts w:ascii="Times New Roman" w:hAnsi="Times New Roman" w:cs="Times New Roman"/>
          <w:sz w:val="24"/>
          <w:szCs w:val="24"/>
          <w:lang w:val="en-US"/>
        </w:rPr>
        <w:t>to be provide</w:t>
      </w:r>
      <w:r w:rsidR="00B853E0">
        <w:rPr>
          <w:rFonts w:ascii="Times New Roman" w:hAnsi="Times New Roman" w:cs="Times New Roman"/>
          <w:sz w:val="24"/>
          <w:szCs w:val="24"/>
          <w:lang w:val="en-US"/>
        </w:rPr>
        <w:t>d shall be:</w:t>
      </w:r>
    </w:p>
    <w:p w14:paraId="736D0AC4" w14:textId="6B6AF319" w:rsidR="00466C6E" w:rsidRPr="00B853E0" w:rsidRDefault="00B853E0" w:rsidP="00CF1842">
      <w:pPr>
        <w:pStyle w:val="ListParagraph"/>
        <w:numPr>
          <w:ilvl w:val="0"/>
          <w:numId w:val="11"/>
        </w:numPr>
        <w:ind w:left="851"/>
        <w:jc w:val="both"/>
        <w:rPr>
          <w:rFonts w:ascii="Times New Roman" w:hAnsi="Times New Roman" w:cs="Times New Roman"/>
          <w:sz w:val="24"/>
          <w:szCs w:val="24"/>
          <w:lang w:val="en-US"/>
        </w:rPr>
      </w:pPr>
      <w:r>
        <w:rPr>
          <w:rFonts w:ascii="Times New Roman" w:hAnsi="Times New Roman" w:cs="Times New Roman"/>
          <w:sz w:val="24"/>
          <w:szCs w:val="24"/>
        </w:rPr>
        <w:t>duly</w:t>
      </w:r>
      <w:r w:rsidR="00466C6E">
        <w:rPr>
          <w:rFonts w:ascii="Times New Roman" w:hAnsi="Times New Roman" w:cs="Times New Roman"/>
          <w:sz w:val="24"/>
          <w:szCs w:val="24"/>
        </w:rPr>
        <w:t xml:space="preserve"> certified</w:t>
      </w:r>
      <w:r>
        <w:rPr>
          <w:rFonts w:ascii="Times New Roman" w:hAnsi="Times New Roman" w:cs="Times New Roman"/>
          <w:sz w:val="24"/>
          <w:szCs w:val="24"/>
        </w:rPr>
        <w:t>,</w:t>
      </w:r>
    </w:p>
    <w:p w14:paraId="3BB0ECEC" w14:textId="42D4B4A4" w:rsidR="00B853E0" w:rsidRPr="00B853E0" w:rsidRDefault="00B853E0" w:rsidP="00CF1842">
      <w:pPr>
        <w:pStyle w:val="ListParagraph"/>
        <w:numPr>
          <w:ilvl w:val="0"/>
          <w:numId w:val="11"/>
        </w:numPr>
        <w:ind w:left="851"/>
        <w:jc w:val="both"/>
        <w:rPr>
          <w:rFonts w:ascii="Times New Roman" w:hAnsi="Times New Roman" w:cs="Times New Roman"/>
          <w:sz w:val="24"/>
          <w:szCs w:val="24"/>
          <w:lang w:val="en-US"/>
        </w:rPr>
      </w:pPr>
      <w:r w:rsidRPr="005A7EAB">
        <w:rPr>
          <w:rFonts w:ascii="Times New Roman" w:hAnsi="Times New Roman" w:cs="Times New Roman"/>
          <w:sz w:val="24"/>
          <w:szCs w:val="24"/>
        </w:rPr>
        <w:t>issued by the Depository Participant</w:t>
      </w:r>
      <w:r>
        <w:rPr>
          <w:rFonts w:ascii="Times New Roman" w:hAnsi="Times New Roman" w:cs="Times New Roman"/>
          <w:sz w:val="24"/>
          <w:szCs w:val="24"/>
        </w:rPr>
        <w:t>,</w:t>
      </w:r>
    </w:p>
    <w:p w14:paraId="7079BEEA" w14:textId="0645CBED" w:rsidR="00B853E0" w:rsidRPr="00B853E0" w:rsidRDefault="00B853E0" w:rsidP="00CF1842">
      <w:pPr>
        <w:pStyle w:val="ListParagraph"/>
        <w:numPr>
          <w:ilvl w:val="0"/>
          <w:numId w:val="11"/>
        </w:numPr>
        <w:ind w:left="851"/>
        <w:jc w:val="both"/>
        <w:rPr>
          <w:rFonts w:ascii="Times New Roman" w:hAnsi="Times New Roman" w:cs="Times New Roman"/>
          <w:sz w:val="24"/>
          <w:szCs w:val="24"/>
          <w:lang w:val="en-US"/>
        </w:rPr>
      </w:pPr>
      <w:r>
        <w:rPr>
          <w:rFonts w:ascii="Times New Roman" w:hAnsi="Times New Roman" w:cs="Times New Roman"/>
          <w:sz w:val="24"/>
          <w:szCs w:val="24"/>
        </w:rPr>
        <w:t>f</w:t>
      </w:r>
      <w:r w:rsidR="00466C6E">
        <w:rPr>
          <w:rFonts w:ascii="Times New Roman" w:hAnsi="Times New Roman" w:cs="Times New Roman"/>
          <w:sz w:val="24"/>
          <w:szCs w:val="24"/>
        </w:rPr>
        <w:t xml:space="preserve">or a period of </w:t>
      </w:r>
      <w:r w:rsidR="006832CD" w:rsidRPr="005A7EAB">
        <w:rPr>
          <w:rFonts w:ascii="Times New Roman" w:hAnsi="Times New Roman" w:cs="Times New Roman"/>
          <w:sz w:val="24"/>
          <w:szCs w:val="24"/>
        </w:rPr>
        <w:t xml:space="preserve">90 trading days prior to the relevant date till commencement of lock-in / relevant date, </w:t>
      </w:r>
    </w:p>
    <w:p w14:paraId="4F053120" w14:textId="40506CDF" w:rsidR="006832CD" w:rsidRPr="002F3AD1" w:rsidRDefault="006832CD" w:rsidP="00CF1842">
      <w:pPr>
        <w:pStyle w:val="ListParagraph"/>
        <w:numPr>
          <w:ilvl w:val="0"/>
          <w:numId w:val="11"/>
        </w:numPr>
        <w:ind w:left="851"/>
        <w:jc w:val="both"/>
        <w:rPr>
          <w:rFonts w:ascii="Times New Roman" w:hAnsi="Times New Roman" w:cs="Times New Roman"/>
          <w:sz w:val="24"/>
          <w:szCs w:val="24"/>
          <w:lang w:val="en-US"/>
        </w:rPr>
      </w:pPr>
      <w:r w:rsidRPr="005A7EAB">
        <w:rPr>
          <w:rFonts w:ascii="Times New Roman" w:hAnsi="Times New Roman" w:cs="Times New Roman"/>
          <w:sz w:val="24"/>
          <w:szCs w:val="24"/>
        </w:rPr>
        <w:t>reflect lock-in end date of entire pre-preferential holding</w:t>
      </w:r>
    </w:p>
    <w:p w14:paraId="00F7F1DE" w14:textId="43068D11"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6D5EA096" w14:textId="6329FCB6"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5CD0B971" w14:textId="4E671066"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62ECE58E" w14:textId="352F63E2"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7617B322" w14:textId="06401DFC"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5B47A52B" w14:textId="66983FAE" w:rsidR="006832CD" w:rsidRPr="005E76A9" w:rsidRDefault="006832CD" w:rsidP="005E76A9">
      <w:pPr>
        <w:jc w:val="both"/>
        <w:rPr>
          <w:rFonts w:ascii="Times New Roman" w:hAnsi="Times New Roman" w:cs="Times New Roman"/>
          <w:sz w:val="24"/>
          <w:szCs w:val="24"/>
          <w:lang w:val="en-US"/>
        </w:rPr>
      </w:pPr>
    </w:p>
    <w:p w14:paraId="79CFE6FA" w14:textId="77777777" w:rsidR="006832CD" w:rsidRPr="005A7EAB" w:rsidRDefault="006832CD" w:rsidP="00231B03">
      <w:pPr>
        <w:pStyle w:val="ListParagraph"/>
        <w:ind w:left="284" w:hanging="284"/>
        <w:jc w:val="both"/>
        <w:rPr>
          <w:rFonts w:ascii="Times New Roman" w:hAnsi="Times New Roman" w:cs="Times New Roman"/>
          <w:sz w:val="24"/>
          <w:szCs w:val="24"/>
          <w:lang w:val="en-US"/>
        </w:rPr>
      </w:pPr>
    </w:p>
    <w:p w14:paraId="551FA2B6" w14:textId="77777777" w:rsidR="006832CD" w:rsidRPr="005A7EAB" w:rsidRDefault="006832CD" w:rsidP="00231B03">
      <w:pPr>
        <w:pStyle w:val="ListParagraph"/>
        <w:ind w:left="284" w:hanging="284"/>
        <w:jc w:val="both"/>
        <w:rPr>
          <w:rFonts w:ascii="Times New Roman" w:hAnsi="Times New Roman" w:cs="Times New Roman"/>
          <w:b/>
          <w:bCs/>
          <w:sz w:val="24"/>
          <w:szCs w:val="24"/>
          <w:lang w:val="en-US"/>
        </w:rPr>
      </w:pPr>
    </w:p>
    <w:p w14:paraId="10BC00A0" w14:textId="7A1D88CC" w:rsidR="006832CD" w:rsidRPr="005A7EAB" w:rsidRDefault="006832CD" w:rsidP="005E76A9">
      <w:pPr>
        <w:pStyle w:val="ListParagraph"/>
        <w:ind w:left="284"/>
        <w:jc w:val="both"/>
        <w:rPr>
          <w:rFonts w:ascii="Times New Roman" w:hAnsi="Times New Roman" w:cs="Times New Roman"/>
          <w:b/>
          <w:bCs/>
          <w:sz w:val="24"/>
          <w:szCs w:val="24"/>
          <w:lang w:val="en-US"/>
        </w:rPr>
      </w:pPr>
    </w:p>
    <w:sectPr w:rsidR="006832CD" w:rsidRPr="005A7EA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72CDC" w14:textId="77777777" w:rsidR="005B01F9" w:rsidRDefault="005B01F9" w:rsidP="00BB5FC5">
      <w:pPr>
        <w:spacing w:after="0" w:line="240" w:lineRule="auto"/>
      </w:pPr>
      <w:r>
        <w:separator/>
      </w:r>
    </w:p>
  </w:endnote>
  <w:endnote w:type="continuationSeparator" w:id="0">
    <w:p w14:paraId="6273E3D7" w14:textId="77777777" w:rsidR="005B01F9" w:rsidRDefault="005B01F9" w:rsidP="00BB5FC5">
      <w:pPr>
        <w:spacing w:after="0" w:line="240" w:lineRule="auto"/>
      </w:pPr>
      <w:r>
        <w:continuationSeparator/>
      </w:r>
    </w:p>
  </w:endnote>
  <w:endnote w:type="continuationNotice" w:id="1">
    <w:p w14:paraId="688445B7" w14:textId="77777777" w:rsidR="005B01F9" w:rsidRDefault="005B01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B05F3" w14:textId="77777777" w:rsidR="00BB5FC5" w:rsidRDefault="00BB5FC5">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77E2BF02" w14:textId="77777777" w:rsidR="00BB5FC5" w:rsidRDefault="00BB5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238E" w14:textId="77777777" w:rsidR="005B01F9" w:rsidRDefault="005B01F9" w:rsidP="00BB5FC5">
      <w:pPr>
        <w:spacing w:after="0" w:line="240" w:lineRule="auto"/>
      </w:pPr>
      <w:r>
        <w:separator/>
      </w:r>
    </w:p>
  </w:footnote>
  <w:footnote w:type="continuationSeparator" w:id="0">
    <w:p w14:paraId="2531930B" w14:textId="77777777" w:rsidR="005B01F9" w:rsidRDefault="005B01F9" w:rsidP="00BB5FC5">
      <w:pPr>
        <w:spacing w:after="0" w:line="240" w:lineRule="auto"/>
      </w:pPr>
      <w:r>
        <w:continuationSeparator/>
      </w:r>
    </w:p>
  </w:footnote>
  <w:footnote w:type="continuationNotice" w:id="1">
    <w:p w14:paraId="0B606F3C" w14:textId="77777777" w:rsidR="005B01F9" w:rsidRDefault="005B01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5987"/>
    <w:multiLevelType w:val="hybridMultilevel"/>
    <w:tmpl w:val="CBDC53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FE6153E"/>
    <w:multiLevelType w:val="hybridMultilevel"/>
    <w:tmpl w:val="50B47D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EE44DEE"/>
    <w:multiLevelType w:val="hybridMultilevel"/>
    <w:tmpl w:val="0B7626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5C820FA"/>
    <w:multiLevelType w:val="hybridMultilevel"/>
    <w:tmpl w:val="9C3654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4560439"/>
    <w:multiLevelType w:val="hybridMultilevel"/>
    <w:tmpl w:val="682CEF7E"/>
    <w:lvl w:ilvl="0" w:tplc="BB38ED70">
      <w:start w:val="1"/>
      <w:numFmt w:val="low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 w15:restartNumberingAfterBreak="0">
    <w:nsid w:val="359B3199"/>
    <w:multiLevelType w:val="hybridMultilevel"/>
    <w:tmpl w:val="1A88502C"/>
    <w:lvl w:ilvl="0" w:tplc="40090001">
      <w:start w:val="1"/>
      <w:numFmt w:val="bullet"/>
      <w:lvlText w:val=""/>
      <w:lvlJc w:val="left"/>
      <w:pPr>
        <w:ind w:left="1080" w:hanging="360"/>
      </w:pPr>
      <w:rPr>
        <w:rFonts w:ascii="Symbol" w:hAnsi="Symbol" w:hint="default"/>
        <w:b w:val="0"/>
        <w:sz w:val="22"/>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426C6083"/>
    <w:multiLevelType w:val="hybridMultilevel"/>
    <w:tmpl w:val="700C1A56"/>
    <w:lvl w:ilvl="0" w:tplc="40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5D94C88"/>
    <w:multiLevelType w:val="hybridMultilevel"/>
    <w:tmpl w:val="7AA470CA"/>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48D67DAE"/>
    <w:multiLevelType w:val="hybridMultilevel"/>
    <w:tmpl w:val="F9ACDF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E2F086A"/>
    <w:multiLevelType w:val="hybridMultilevel"/>
    <w:tmpl w:val="F86034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423543B"/>
    <w:multiLevelType w:val="hybridMultilevel"/>
    <w:tmpl w:val="C48014DA"/>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15:restartNumberingAfterBreak="0">
    <w:nsid w:val="64BF47D7"/>
    <w:multiLevelType w:val="hybridMultilevel"/>
    <w:tmpl w:val="9D7C4B1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15:restartNumberingAfterBreak="0">
    <w:nsid w:val="695D6DF8"/>
    <w:multiLevelType w:val="hybridMultilevel"/>
    <w:tmpl w:val="6BCC041E"/>
    <w:lvl w:ilvl="0" w:tplc="40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35836EE"/>
    <w:multiLevelType w:val="hybridMultilevel"/>
    <w:tmpl w:val="3126F1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747C0982"/>
    <w:multiLevelType w:val="hybridMultilevel"/>
    <w:tmpl w:val="84A8A8FE"/>
    <w:lvl w:ilvl="0" w:tplc="824AF7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1394015">
    <w:abstractNumId w:val="2"/>
  </w:num>
  <w:num w:numId="2" w16cid:durableId="163126843">
    <w:abstractNumId w:val="13"/>
  </w:num>
  <w:num w:numId="3" w16cid:durableId="416899023">
    <w:abstractNumId w:val="11"/>
  </w:num>
  <w:num w:numId="4" w16cid:durableId="1469475294">
    <w:abstractNumId w:val="8"/>
  </w:num>
  <w:num w:numId="5" w16cid:durableId="1516000726">
    <w:abstractNumId w:val="7"/>
  </w:num>
  <w:num w:numId="6" w16cid:durableId="1277129912">
    <w:abstractNumId w:val="0"/>
  </w:num>
  <w:num w:numId="7" w16cid:durableId="1975327835">
    <w:abstractNumId w:val="1"/>
  </w:num>
  <w:num w:numId="8" w16cid:durableId="1132746986">
    <w:abstractNumId w:val="9"/>
  </w:num>
  <w:num w:numId="9" w16cid:durableId="1930892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4129021">
    <w:abstractNumId w:val="12"/>
  </w:num>
  <w:num w:numId="11" w16cid:durableId="1213929678">
    <w:abstractNumId w:val="4"/>
  </w:num>
  <w:num w:numId="12" w16cid:durableId="955914241">
    <w:abstractNumId w:val="3"/>
  </w:num>
  <w:num w:numId="13" w16cid:durableId="1194613489">
    <w:abstractNumId w:val="14"/>
  </w:num>
  <w:num w:numId="14" w16cid:durableId="1057780131">
    <w:abstractNumId w:val="6"/>
  </w:num>
  <w:num w:numId="15" w16cid:durableId="1343781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1A"/>
    <w:rsid w:val="00014DC3"/>
    <w:rsid w:val="00063DD7"/>
    <w:rsid w:val="00075F70"/>
    <w:rsid w:val="00077F1C"/>
    <w:rsid w:val="000B56BD"/>
    <w:rsid w:val="000C792A"/>
    <w:rsid w:val="00107FE1"/>
    <w:rsid w:val="00111A18"/>
    <w:rsid w:val="0011776B"/>
    <w:rsid w:val="00121AED"/>
    <w:rsid w:val="001545BB"/>
    <w:rsid w:val="001C7895"/>
    <w:rsid w:val="001E63F8"/>
    <w:rsid w:val="00206161"/>
    <w:rsid w:val="00231B03"/>
    <w:rsid w:val="00243ADD"/>
    <w:rsid w:val="002540FD"/>
    <w:rsid w:val="00255B62"/>
    <w:rsid w:val="002D2E07"/>
    <w:rsid w:val="002E4B49"/>
    <w:rsid w:val="002F3AD1"/>
    <w:rsid w:val="0030407F"/>
    <w:rsid w:val="003108F5"/>
    <w:rsid w:val="00312032"/>
    <w:rsid w:val="003575EA"/>
    <w:rsid w:val="003741F7"/>
    <w:rsid w:val="003746F7"/>
    <w:rsid w:val="00384EF0"/>
    <w:rsid w:val="00421436"/>
    <w:rsid w:val="00440501"/>
    <w:rsid w:val="00466C6E"/>
    <w:rsid w:val="004B6C1A"/>
    <w:rsid w:val="004C5E42"/>
    <w:rsid w:val="004C6286"/>
    <w:rsid w:val="005304C1"/>
    <w:rsid w:val="005A078D"/>
    <w:rsid w:val="005A7EAB"/>
    <w:rsid w:val="005B01F9"/>
    <w:rsid w:val="005D2A76"/>
    <w:rsid w:val="005D2BCA"/>
    <w:rsid w:val="005E76A9"/>
    <w:rsid w:val="005F5421"/>
    <w:rsid w:val="005F6A0D"/>
    <w:rsid w:val="006300F7"/>
    <w:rsid w:val="006640E3"/>
    <w:rsid w:val="006734E7"/>
    <w:rsid w:val="006832CD"/>
    <w:rsid w:val="006A30FE"/>
    <w:rsid w:val="006B40AB"/>
    <w:rsid w:val="006C0873"/>
    <w:rsid w:val="006E5212"/>
    <w:rsid w:val="00766068"/>
    <w:rsid w:val="007952C3"/>
    <w:rsid w:val="007B6A93"/>
    <w:rsid w:val="007E77EC"/>
    <w:rsid w:val="008138D7"/>
    <w:rsid w:val="008777BE"/>
    <w:rsid w:val="008914F8"/>
    <w:rsid w:val="00894CE9"/>
    <w:rsid w:val="008A2C15"/>
    <w:rsid w:val="008A3493"/>
    <w:rsid w:val="008A7BB5"/>
    <w:rsid w:val="008D4C4A"/>
    <w:rsid w:val="008D56F6"/>
    <w:rsid w:val="008E5344"/>
    <w:rsid w:val="008F47EB"/>
    <w:rsid w:val="00922AFB"/>
    <w:rsid w:val="00925ACB"/>
    <w:rsid w:val="009321C2"/>
    <w:rsid w:val="00933DE9"/>
    <w:rsid w:val="00946204"/>
    <w:rsid w:val="0097066F"/>
    <w:rsid w:val="009867E0"/>
    <w:rsid w:val="00A00113"/>
    <w:rsid w:val="00A840E0"/>
    <w:rsid w:val="00A902BA"/>
    <w:rsid w:val="00AE4B2F"/>
    <w:rsid w:val="00AE5C03"/>
    <w:rsid w:val="00B3551E"/>
    <w:rsid w:val="00B40049"/>
    <w:rsid w:val="00B57EE7"/>
    <w:rsid w:val="00B62940"/>
    <w:rsid w:val="00B82E60"/>
    <w:rsid w:val="00B839F4"/>
    <w:rsid w:val="00B853E0"/>
    <w:rsid w:val="00B95D24"/>
    <w:rsid w:val="00BB5FC5"/>
    <w:rsid w:val="00BD5297"/>
    <w:rsid w:val="00BF1DC3"/>
    <w:rsid w:val="00C7333E"/>
    <w:rsid w:val="00C743EA"/>
    <w:rsid w:val="00C82310"/>
    <w:rsid w:val="00C85184"/>
    <w:rsid w:val="00CC3D1D"/>
    <w:rsid w:val="00CD0784"/>
    <w:rsid w:val="00CE2941"/>
    <w:rsid w:val="00CE6EEF"/>
    <w:rsid w:val="00CF1842"/>
    <w:rsid w:val="00D50DC1"/>
    <w:rsid w:val="00D541F8"/>
    <w:rsid w:val="00DB0CDF"/>
    <w:rsid w:val="00DD3A40"/>
    <w:rsid w:val="00DF4E80"/>
    <w:rsid w:val="00E548F5"/>
    <w:rsid w:val="00E64FE0"/>
    <w:rsid w:val="00E67E42"/>
    <w:rsid w:val="00E74D79"/>
    <w:rsid w:val="00E946E8"/>
    <w:rsid w:val="00F15DD6"/>
    <w:rsid w:val="00F451E1"/>
    <w:rsid w:val="00F4720B"/>
    <w:rsid w:val="00F53CA7"/>
    <w:rsid w:val="00FD3D5E"/>
    <w:rsid w:val="00FD3F43"/>
    <w:rsid w:val="00FF40AC"/>
    <w:rsid w:val="00FF476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8B5B7"/>
  <w15:chartTrackingRefBased/>
  <w15:docId w15:val="{F4984336-08BE-4D73-B060-26E0B6B1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C1A"/>
    <w:pPr>
      <w:ind w:left="720"/>
      <w:contextualSpacing/>
    </w:pPr>
  </w:style>
  <w:style w:type="paragraph" w:customStyle="1" w:styleId="xmsonormal">
    <w:name w:val="x_msonormal"/>
    <w:basedOn w:val="Normal"/>
    <w:rsid w:val="00FD3F43"/>
    <w:pPr>
      <w:spacing w:after="0" w:line="240" w:lineRule="auto"/>
    </w:pPr>
    <w:rPr>
      <w:rFonts w:ascii="Calibri" w:hAnsi="Calibri" w:cs="Calibri"/>
      <w:lang w:val="en-US"/>
    </w:rPr>
  </w:style>
  <w:style w:type="paragraph" w:customStyle="1" w:styleId="xmsolistparagraph">
    <w:name w:val="x_msolistparagraph"/>
    <w:basedOn w:val="Normal"/>
    <w:rsid w:val="00FD3F43"/>
    <w:pPr>
      <w:spacing w:after="0" w:line="240" w:lineRule="auto"/>
    </w:pPr>
    <w:rPr>
      <w:rFonts w:ascii="Calibri" w:hAnsi="Calibri" w:cs="Calibri"/>
      <w:lang w:val="en-US"/>
    </w:rPr>
  </w:style>
  <w:style w:type="paragraph" w:styleId="Revision">
    <w:name w:val="Revision"/>
    <w:hidden/>
    <w:uiPriority w:val="99"/>
    <w:semiHidden/>
    <w:rsid w:val="00E67E42"/>
    <w:pPr>
      <w:spacing w:after="0" w:line="240" w:lineRule="auto"/>
    </w:pPr>
  </w:style>
  <w:style w:type="character" w:styleId="CommentReference">
    <w:name w:val="annotation reference"/>
    <w:basedOn w:val="DefaultParagraphFont"/>
    <w:uiPriority w:val="99"/>
    <w:semiHidden/>
    <w:unhideWhenUsed/>
    <w:rsid w:val="006B40AB"/>
    <w:rPr>
      <w:sz w:val="16"/>
      <w:szCs w:val="16"/>
    </w:rPr>
  </w:style>
  <w:style w:type="paragraph" w:styleId="CommentText">
    <w:name w:val="annotation text"/>
    <w:basedOn w:val="Normal"/>
    <w:link w:val="CommentTextChar"/>
    <w:uiPriority w:val="99"/>
    <w:unhideWhenUsed/>
    <w:rsid w:val="006B40AB"/>
    <w:pPr>
      <w:spacing w:line="240" w:lineRule="auto"/>
    </w:pPr>
    <w:rPr>
      <w:sz w:val="20"/>
      <w:szCs w:val="20"/>
    </w:rPr>
  </w:style>
  <w:style w:type="character" w:customStyle="1" w:styleId="CommentTextChar">
    <w:name w:val="Comment Text Char"/>
    <w:basedOn w:val="DefaultParagraphFont"/>
    <w:link w:val="CommentText"/>
    <w:uiPriority w:val="99"/>
    <w:rsid w:val="006B40AB"/>
    <w:rPr>
      <w:sz w:val="20"/>
      <w:szCs w:val="20"/>
    </w:rPr>
  </w:style>
  <w:style w:type="paragraph" w:styleId="CommentSubject">
    <w:name w:val="annotation subject"/>
    <w:basedOn w:val="CommentText"/>
    <w:next w:val="CommentText"/>
    <w:link w:val="CommentSubjectChar"/>
    <w:uiPriority w:val="99"/>
    <w:semiHidden/>
    <w:unhideWhenUsed/>
    <w:rsid w:val="006B40AB"/>
    <w:rPr>
      <w:b/>
      <w:bCs/>
    </w:rPr>
  </w:style>
  <w:style w:type="character" w:customStyle="1" w:styleId="CommentSubjectChar">
    <w:name w:val="Comment Subject Char"/>
    <w:basedOn w:val="CommentTextChar"/>
    <w:link w:val="CommentSubject"/>
    <w:uiPriority w:val="99"/>
    <w:semiHidden/>
    <w:rsid w:val="006B40AB"/>
    <w:rPr>
      <w:b/>
      <w:bCs/>
      <w:sz w:val="20"/>
      <w:szCs w:val="20"/>
    </w:rPr>
  </w:style>
  <w:style w:type="paragraph" w:styleId="BalloonText">
    <w:name w:val="Balloon Text"/>
    <w:basedOn w:val="Normal"/>
    <w:link w:val="BalloonTextChar"/>
    <w:uiPriority w:val="99"/>
    <w:semiHidden/>
    <w:unhideWhenUsed/>
    <w:rsid w:val="005A078D"/>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5A078D"/>
    <w:rPr>
      <w:rFonts w:ascii="Tahoma" w:eastAsia="Calibri" w:hAnsi="Tahoma" w:cs="Tahoma"/>
      <w:sz w:val="16"/>
      <w:szCs w:val="16"/>
      <w:lang w:val="en-US"/>
    </w:rPr>
  </w:style>
  <w:style w:type="paragraph" w:styleId="Header">
    <w:name w:val="header"/>
    <w:basedOn w:val="Normal"/>
    <w:link w:val="HeaderChar"/>
    <w:uiPriority w:val="99"/>
    <w:unhideWhenUsed/>
    <w:rsid w:val="00BB5F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FC5"/>
  </w:style>
  <w:style w:type="paragraph" w:styleId="Footer">
    <w:name w:val="footer"/>
    <w:basedOn w:val="Normal"/>
    <w:link w:val="FooterChar"/>
    <w:uiPriority w:val="99"/>
    <w:unhideWhenUsed/>
    <w:rsid w:val="00BB5F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00476">
      <w:bodyDiv w:val="1"/>
      <w:marLeft w:val="0"/>
      <w:marRight w:val="0"/>
      <w:marTop w:val="0"/>
      <w:marBottom w:val="0"/>
      <w:divBdr>
        <w:top w:val="none" w:sz="0" w:space="0" w:color="auto"/>
        <w:left w:val="none" w:sz="0" w:space="0" w:color="auto"/>
        <w:bottom w:val="none" w:sz="0" w:space="0" w:color="auto"/>
        <w:right w:val="none" w:sz="0" w:space="0" w:color="auto"/>
      </w:divBdr>
    </w:div>
    <w:div w:id="988246431">
      <w:bodyDiv w:val="1"/>
      <w:marLeft w:val="0"/>
      <w:marRight w:val="0"/>
      <w:marTop w:val="0"/>
      <w:marBottom w:val="0"/>
      <w:divBdr>
        <w:top w:val="none" w:sz="0" w:space="0" w:color="auto"/>
        <w:left w:val="none" w:sz="0" w:space="0" w:color="auto"/>
        <w:bottom w:val="none" w:sz="0" w:space="0" w:color="auto"/>
        <w:right w:val="none" w:sz="0" w:space="0" w:color="auto"/>
      </w:divBdr>
    </w:div>
    <w:div w:id="113386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Srishti Agarwal (LISCO)</dc:creator>
  <cp:keywords/>
  <dc:description/>
  <cp:lastModifiedBy>Srishti Agarwal (LISCO)</cp:lastModifiedBy>
  <cp:revision>3</cp:revision>
  <dcterms:created xsi:type="dcterms:W3CDTF">2023-07-06T05:58:00Z</dcterms:created>
  <dcterms:modified xsi:type="dcterms:W3CDTF">2023-07-06T06:11:00Z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2023-06-26T11:24:45Z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38535f2f-b00a-44e4-9b01-764e54ce1af2</vt:lpwstr>
  </property>
  <property fmtid="{D5CDD505-2E9C-101B-9397-08002B2CF9AE}" pid="8" name="MSIP_Label_305f50f5-e953-4c63-867b-388561f41989_ContentBits">
    <vt:lpwstr>0</vt:lpwstr>
  </property>
</Properties>
</file>