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F696D" w14:textId="37B0EB09" w:rsidR="00390563" w:rsidRPr="00C37B39" w:rsidRDefault="00390563" w:rsidP="00390563">
      <w:pPr>
        <w:jc w:val="center"/>
        <w:rPr>
          <w:rFonts w:ascii="IBM Plex Sans" w:hAnsi="IBM Plex Sans"/>
          <w:b/>
          <w:sz w:val="20"/>
          <w:szCs w:val="20"/>
        </w:rPr>
      </w:pPr>
      <w:r w:rsidRPr="00C37B39">
        <w:rPr>
          <w:rFonts w:ascii="IBM Plex Sans" w:hAnsi="IBM Plex Sans"/>
          <w:b/>
          <w:sz w:val="20"/>
          <w:szCs w:val="20"/>
        </w:rPr>
        <w:t xml:space="preserve">Annexure </w:t>
      </w:r>
      <w:r w:rsidR="002166BE">
        <w:rPr>
          <w:rFonts w:ascii="IBM Plex Sans" w:hAnsi="IBM Plex Sans"/>
          <w:b/>
          <w:sz w:val="20"/>
          <w:szCs w:val="20"/>
        </w:rPr>
        <w:t>M</w:t>
      </w:r>
    </w:p>
    <w:p w14:paraId="5D7C52A3" w14:textId="77777777" w:rsidR="00390563" w:rsidRPr="00C37B39" w:rsidRDefault="00390563" w:rsidP="00390563">
      <w:pPr>
        <w:rPr>
          <w:rFonts w:ascii="IBM Plex Sans" w:hAnsi="IBM Plex Sans"/>
          <w:b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ab/>
      </w:r>
      <w:r w:rsidRPr="00C37B39">
        <w:rPr>
          <w:rFonts w:ascii="IBM Plex Sans" w:hAnsi="IBM Plex Sans"/>
          <w:sz w:val="20"/>
          <w:szCs w:val="20"/>
        </w:rPr>
        <w:tab/>
      </w:r>
      <w:r w:rsidRPr="00C37B39">
        <w:rPr>
          <w:rFonts w:ascii="IBM Plex Sans" w:hAnsi="IBM Plex Sans"/>
          <w:sz w:val="20"/>
          <w:szCs w:val="20"/>
        </w:rPr>
        <w:tab/>
      </w:r>
      <w:r w:rsidRPr="00C37B39">
        <w:rPr>
          <w:rFonts w:ascii="IBM Plex Sans" w:hAnsi="IBM Plex Sans"/>
          <w:sz w:val="20"/>
          <w:szCs w:val="20"/>
        </w:rPr>
        <w:tab/>
      </w:r>
      <w:r w:rsidRPr="00C37B39">
        <w:rPr>
          <w:rFonts w:ascii="IBM Plex Sans" w:hAnsi="IBM Plex Sans"/>
          <w:sz w:val="20"/>
          <w:szCs w:val="20"/>
        </w:rPr>
        <w:tab/>
      </w:r>
      <w:r w:rsidRPr="00C37B39">
        <w:rPr>
          <w:rFonts w:ascii="IBM Plex Sans" w:hAnsi="IBM Plex Sans"/>
          <w:b/>
          <w:sz w:val="20"/>
          <w:szCs w:val="20"/>
        </w:rPr>
        <w:t>Preliminary System Audit</w:t>
      </w:r>
      <w:r w:rsidRPr="00C37B39">
        <w:rPr>
          <w:rFonts w:ascii="IBM Plex Sans" w:hAnsi="IBM Plex Sans"/>
          <w:b/>
          <w:sz w:val="20"/>
          <w:szCs w:val="20"/>
        </w:rPr>
        <w:tab/>
      </w:r>
    </w:p>
    <w:tbl>
      <w:tblPr>
        <w:tblW w:w="9938" w:type="dxa"/>
        <w:tblInd w:w="40" w:type="dxa"/>
        <w:tblLook w:val="04A0" w:firstRow="1" w:lastRow="0" w:firstColumn="1" w:lastColumn="0" w:noHBand="0" w:noVBand="1"/>
      </w:tblPr>
      <w:tblGrid>
        <w:gridCol w:w="649"/>
        <w:gridCol w:w="1021"/>
        <w:gridCol w:w="975"/>
        <w:gridCol w:w="602"/>
        <w:gridCol w:w="748"/>
        <w:gridCol w:w="780"/>
        <w:gridCol w:w="740"/>
        <w:gridCol w:w="775"/>
        <w:gridCol w:w="775"/>
        <w:gridCol w:w="900"/>
        <w:gridCol w:w="900"/>
        <w:gridCol w:w="1073"/>
      </w:tblGrid>
      <w:tr w:rsidR="00390563" w:rsidRPr="00C37B39" w14:paraId="521711C4" w14:textId="77777777" w:rsidTr="00390563">
        <w:trPr>
          <w:trHeight w:val="415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B2178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BF9B6F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ADCEC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BA1D48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21AF0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04379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97471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4D3B7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AE3F5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7FBA1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FD3039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2FC14A" w14:textId="77777777" w:rsidR="00390563" w:rsidRPr="00C37B39" w:rsidRDefault="00390563" w:rsidP="00E730FE">
            <w:pPr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</w:tr>
      <w:tr w:rsidR="00390563" w:rsidRPr="00C37B39" w14:paraId="7B5AF6EA" w14:textId="77777777" w:rsidTr="00390563">
        <w:trPr>
          <w:trHeight w:val="125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17CE5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Audit Period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3E39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Observation No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CF32A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Description of finding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95FCF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ASP Name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D61F6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Status / Nature of findings 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40B6F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Risk Rating of Findings as per Auditor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77ED7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Audited By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9A597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Root Cause Analysis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877F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Impact Analysis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4CD5C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Corrective Action Proposed by auditor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6FB12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Deadline for the Corrective Actions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AA14D" w14:textId="77777777" w:rsidR="00390563" w:rsidRPr="00C37B39" w:rsidRDefault="00390563" w:rsidP="00E730FE">
            <w:pPr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 xml:space="preserve">Management response in case of acceptance of </w:t>
            </w:r>
            <w:proofErr w:type="gramStart"/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associate  risk</w:t>
            </w:r>
            <w:proofErr w:type="gramEnd"/>
          </w:p>
        </w:tc>
      </w:tr>
      <w:tr w:rsidR="00390563" w:rsidRPr="00C37B39" w14:paraId="1D15854C" w14:textId="77777777" w:rsidTr="00390563">
        <w:trPr>
          <w:trHeight w:val="1899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6BBF5715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267CA602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16F96B6D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799B001F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4A60A90F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794291C4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9DF0CEF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4CFFE2B2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0FA8B782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5694BED5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2369CB98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hideMark/>
          </w:tcPr>
          <w:p w14:paraId="2CB4545F" w14:textId="77777777" w:rsidR="00390563" w:rsidRPr="00C37B39" w:rsidRDefault="00390563" w:rsidP="00E730FE">
            <w:pPr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 </w:t>
            </w:r>
          </w:p>
        </w:tc>
      </w:tr>
    </w:tbl>
    <w:p w14:paraId="5DA784B5" w14:textId="77777777" w:rsidR="00390563" w:rsidRPr="00C37B39" w:rsidRDefault="00390563" w:rsidP="00390563">
      <w:pPr>
        <w:rPr>
          <w:rFonts w:ascii="IBM Plex Sans" w:hAnsi="IBM Plex Sans"/>
          <w:sz w:val="24"/>
          <w:szCs w:val="24"/>
        </w:rPr>
      </w:pPr>
    </w:p>
    <w:p w14:paraId="7E9AF442" w14:textId="77777777" w:rsidR="00390563" w:rsidRPr="00C37B39" w:rsidRDefault="00390563" w:rsidP="00390563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Description of relevant table heads:</w:t>
      </w:r>
    </w:p>
    <w:p w14:paraId="19998662" w14:textId="77777777" w:rsidR="00390563" w:rsidRPr="00C37B39" w:rsidRDefault="00390563" w:rsidP="00390563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1.       Audit Period - This indicates the period of the audit.</w:t>
      </w:r>
    </w:p>
    <w:p w14:paraId="31C52190" w14:textId="77777777" w:rsidR="00390563" w:rsidRPr="00C37B39" w:rsidRDefault="00390563" w:rsidP="00390563">
      <w:pPr>
        <w:ind w:left="576" w:hanging="576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2.       Description of Finding / Observations - Description of the findings in sufficient details, referencing any accompanying evidence.</w:t>
      </w:r>
    </w:p>
    <w:p w14:paraId="72A5617C" w14:textId="77777777" w:rsidR="00390563" w:rsidRPr="00C37B39" w:rsidRDefault="00390563" w:rsidP="00390563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3.       Status / Nature of Findings - The category can be specified for example:</w:t>
      </w:r>
    </w:p>
    <w:p w14:paraId="4D99B986" w14:textId="77777777" w:rsidR="00390563" w:rsidRPr="00C37B39" w:rsidRDefault="00390563" w:rsidP="00390563">
      <w:pPr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a.       Non-Compliant (Major/Minor)-</w:t>
      </w:r>
    </w:p>
    <w:p w14:paraId="1D6F1DAD" w14:textId="77777777" w:rsidR="00390563" w:rsidRPr="00C37B39" w:rsidRDefault="00390563" w:rsidP="00390563">
      <w:pPr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b.      Work In progress</w:t>
      </w:r>
    </w:p>
    <w:p w14:paraId="4AD24113" w14:textId="77777777" w:rsidR="00390563" w:rsidRPr="00C37B39" w:rsidRDefault="00390563" w:rsidP="00390563">
      <w:pPr>
        <w:ind w:left="720"/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>c.      Observation</w:t>
      </w:r>
    </w:p>
    <w:p w14:paraId="7F175DD3" w14:textId="77777777" w:rsidR="00390563" w:rsidRPr="00C37B39" w:rsidRDefault="00390563" w:rsidP="00390563">
      <w:pPr>
        <w:ind w:left="720"/>
        <w:jc w:val="both"/>
        <w:rPr>
          <w:rFonts w:ascii="IBM Plex Sans" w:hAnsi="IBM Plex Sans"/>
          <w:sz w:val="24"/>
          <w:szCs w:val="24"/>
        </w:rPr>
      </w:pPr>
      <w:r w:rsidRPr="00C37B39">
        <w:rPr>
          <w:rFonts w:ascii="IBM Plex Sans" w:hAnsi="IBM Plex Sans"/>
          <w:sz w:val="20"/>
          <w:szCs w:val="20"/>
        </w:rPr>
        <w:t>d.      Suggestion</w:t>
      </w:r>
    </w:p>
    <w:p w14:paraId="3E776562" w14:textId="77777777" w:rsidR="00390563" w:rsidRPr="00C37B39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  <w:r w:rsidRPr="00390563">
        <w:rPr>
          <w:rFonts w:ascii="IBM Plex Sans" w:hAnsi="IBM Plex Sans"/>
          <w:sz w:val="20"/>
          <w:szCs w:val="20"/>
        </w:rPr>
        <w:t>4</w:t>
      </w:r>
      <w:r w:rsidRPr="00C37B39">
        <w:rPr>
          <w:rFonts w:ascii="IBM Plex Sans" w:hAnsi="IBM Plex Sans"/>
          <w:sz w:val="20"/>
          <w:szCs w:val="20"/>
        </w:rPr>
        <w:t xml:space="preserve">.      Risk Rate of Findings - A rating has to been given for each of the observations based on their </w:t>
      </w:r>
      <w:proofErr w:type="gramStart"/>
      <w:r w:rsidRPr="00C37B39">
        <w:rPr>
          <w:rFonts w:ascii="IBM Plex Sans" w:hAnsi="IBM Plex Sans"/>
          <w:sz w:val="20"/>
          <w:szCs w:val="20"/>
        </w:rPr>
        <w:t>impact  and</w:t>
      </w:r>
      <w:proofErr w:type="gramEnd"/>
      <w:r w:rsidRPr="00C37B39">
        <w:rPr>
          <w:rFonts w:ascii="IBM Plex Sans" w:hAnsi="IBM Plex Sans"/>
          <w:sz w:val="20"/>
          <w:szCs w:val="20"/>
        </w:rPr>
        <w:t xml:space="preserve"> severity to reflect the risk exposure, as well as suggested priority for action.</w:t>
      </w:r>
    </w:p>
    <w:p w14:paraId="057932A7" w14:textId="77777777" w:rsidR="00390563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44AE794B" w14:textId="77777777" w:rsidR="00390563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0AF6A95F" w14:textId="77777777" w:rsidR="00390563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43802194" w14:textId="77777777" w:rsidR="00390563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61403B95" w14:textId="77777777" w:rsidR="00390563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7D931185" w14:textId="77777777" w:rsidR="00390563" w:rsidRPr="00C37B39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1598E02D" w14:textId="77777777" w:rsidR="00390563" w:rsidRPr="00C37B39" w:rsidRDefault="00390563" w:rsidP="00390563">
      <w:pPr>
        <w:ind w:left="504" w:hanging="504"/>
        <w:jc w:val="both"/>
        <w:rPr>
          <w:rFonts w:ascii="IBM Plex Sans" w:hAnsi="IBM Plex Sans"/>
          <w:sz w:val="20"/>
          <w:szCs w:val="20"/>
        </w:rPr>
      </w:pPr>
    </w:p>
    <w:p w14:paraId="24DCD7F8" w14:textId="77777777" w:rsidR="00390563" w:rsidRPr="00C37B39" w:rsidRDefault="00390563" w:rsidP="00390563">
      <w:pPr>
        <w:jc w:val="both"/>
        <w:rPr>
          <w:rFonts w:ascii="IBM Plex Sans" w:hAnsi="IBM Plex Sans"/>
          <w:sz w:val="24"/>
          <w:szCs w:val="24"/>
        </w:rPr>
      </w:pPr>
    </w:p>
    <w:tbl>
      <w:tblPr>
        <w:tblW w:w="10180" w:type="dxa"/>
        <w:tblLook w:val="04A0" w:firstRow="1" w:lastRow="0" w:firstColumn="1" w:lastColumn="0" w:noHBand="0" w:noVBand="1"/>
      </w:tblPr>
      <w:tblGrid>
        <w:gridCol w:w="2260"/>
        <w:gridCol w:w="7920"/>
      </w:tblGrid>
      <w:tr w:rsidR="00390563" w:rsidRPr="00C37B39" w14:paraId="75C4DD58" w14:textId="77777777" w:rsidTr="00E730FE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5612B8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lastRenderedPageBreak/>
              <w:t>Rating</w:t>
            </w:r>
          </w:p>
        </w:tc>
        <w:tc>
          <w:tcPr>
            <w:tcW w:w="7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C18FD93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Description</w:t>
            </w:r>
          </w:p>
        </w:tc>
      </w:tr>
      <w:tr w:rsidR="00390563" w:rsidRPr="00C37B39" w14:paraId="43266263" w14:textId="77777777" w:rsidTr="00E730FE">
        <w:trPr>
          <w:trHeight w:val="9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6C7D38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HIGH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0C97C0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 xml:space="preserve">Weakness in control those represent exposure to the organization or risks that lead to instances of noncompliance with the requirement of the TOR’s. </w:t>
            </w:r>
            <w:proofErr w:type="gramStart"/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These risk</w:t>
            </w:r>
            <w:proofErr w:type="gramEnd"/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 xml:space="preserve"> need to be addressed with utmost priority.</w:t>
            </w:r>
          </w:p>
        </w:tc>
      </w:tr>
      <w:tr w:rsidR="00390563" w:rsidRPr="00C37B39" w14:paraId="2ADF670F" w14:textId="77777777" w:rsidTr="00E730FE">
        <w:trPr>
          <w:trHeight w:val="79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2994E4D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MEDIUM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5DADC0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 xml:space="preserve">Potential weakness in controls, which could develop into an exposure or issues that represent areas of concerns and may impact internal controls. These </w:t>
            </w:r>
            <w:proofErr w:type="gramStart"/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>be should addressed</w:t>
            </w:r>
            <w:proofErr w:type="gramEnd"/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 xml:space="preserve"> responsible promptly. </w:t>
            </w:r>
          </w:p>
        </w:tc>
      </w:tr>
      <w:tr w:rsidR="00390563" w:rsidRPr="00C37B39" w14:paraId="37743F1A" w14:textId="77777777" w:rsidTr="00E730FE">
        <w:trPr>
          <w:trHeight w:val="55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78168CA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b/>
                <w:bCs/>
                <w:color w:val="000000"/>
                <w:sz w:val="20"/>
                <w:szCs w:val="20"/>
              </w:rPr>
              <w:t>LOW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A9DEC05" w14:textId="77777777" w:rsidR="00390563" w:rsidRPr="00C37B39" w:rsidRDefault="00390563" w:rsidP="00E730FE">
            <w:pPr>
              <w:jc w:val="both"/>
              <w:rPr>
                <w:rFonts w:ascii="IBM Plex Sans" w:eastAsia="Times New Roman" w:hAnsi="IBM Plex Sans"/>
                <w:color w:val="000000"/>
                <w:sz w:val="20"/>
                <w:szCs w:val="20"/>
              </w:rPr>
            </w:pPr>
            <w:r w:rsidRPr="00C37B39">
              <w:rPr>
                <w:rFonts w:ascii="IBM Plex Sans" w:eastAsia="Times New Roman" w:hAnsi="IBM Plex Sans"/>
                <w:color w:val="000000"/>
                <w:sz w:val="20"/>
                <w:szCs w:val="20"/>
              </w:rPr>
              <w:t xml:space="preserve">Potential weakness in controls, which in combination with other weakness can develop into an exposure. Suggested improvements for situation not immediately/directly affecting controls. </w:t>
            </w:r>
          </w:p>
        </w:tc>
      </w:tr>
    </w:tbl>
    <w:p w14:paraId="01A5A6A2" w14:textId="77777777" w:rsidR="00390563" w:rsidRPr="00C37B39" w:rsidRDefault="00390563" w:rsidP="00390563">
      <w:pPr>
        <w:jc w:val="both"/>
        <w:rPr>
          <w:rFonts w:ascii="IBM Plex Sans" w:hAnsi="IBM Plex Sans"/>
          <w:sz w:val="24"/>
          <w:szCs w:val="24"/>
        </w:rPr>
      </w:pPr>
    </w:p>
    <w:p w14:paraId="4AF654B1" w14:textId="77777777" w:rsidR="00390563" w:rsidRPr="00C37B39" w:rsidRDefault="00390563" w:rsidP="00390563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4"/>
          <w:szCs w:val="24"/>
        </w:rPr>
        <w:t xml:space="preserve">5.       </w:t>
      </w:r>
      <w:r w:rsidRPr="00C37B39">
        <w:rPr>
          <w:rFonts w:ascii="IBM Plex Sans" w:hAnsi="IBM Plex Sans"/>
          <w:sz w:val="20"/>
          <w:szCs w:val="20"/>
        </w:rPr>
        <w:t>Root Cause Analysis - A detailed analysis on the cause of the non-conformity</w:t>
      </w:r>
    </w:p>
    <w:p w14:paraId="671BDAD9" w14:textId="77777777" w:rsidR="00390563" w:rsidRPr="00C37B39" w:rsidRDefault="00390563" w:rsidP="00390563">
      <w:pPr>
        <w:jc w:val="both"/>
        <w:rPr>
          <w:rFonts w:ascii="IBM Plex Sans" w:hAnsi="IBM Plex Sans"/>
          <w:sz w:val="20"/>
          <w:szCs w:val="20"/>
        </w:rPr>
      </w:pPr>
      <w:r w:rsidRPr="00C37B39">
        <w:rPr>
          <w:rFonts w:ascii="IBM Plex Sans" w:hAnsi="IBM Plex Sans"/>
          <w:sz w:val="20"/>
          <w:szCs w:val="20"/>
        </w:rPr>
        <w:t xml:space="preserve">6.       Impact Analysis - An analysis of the likely impact on the operations/ activity of the organization, </w:t>
      </w:r>
    </w:p>
    <w:p w14:paraId="223E2F96" w14:textId="32A7A640" w:rsidR="00413629" w:rsidRDefault="00390563" w:rsidP="00390563">
      <w:r w:rsidRPr="00C37B39">
        <w:rPr>
          <w:rFonts w:ascii="IBM Plex Sans" w:hAnsi="IBM Plex Sans"/>
          <w:sz w:val="20"/>
          <w:szCs w:val="20"/>
        </w:rPr>
        <w:t>7.       Corrective Actions - The action taken to correct the non-conformity</w:t>
      </w:r>
    </w:p>
    <w:sectPr w:rsidR="00413629" w:rsidSect="00390563">
      <w:pgSz w:w="11906" w:h="16838"/>
      <w:pgMar w:top="1440" w:right="851" w:bottom="73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Sans"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C02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166BE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0563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0C6E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0C02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7A95B"/>
  <w15:chartTrackingRefBased/>
  <w15:docId w15:val="{F14A308D-E056-4ECC-9B39-8A9310C1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63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Bhagyashree Biwalkar (MSD)</cp:lastModifiedBy>
  <cp:revision>4</cp:revision>
  <dcterms:created xsi:type="dcterms:W3CDTF">2023-06-22T08:53:00Z</dcterms:created>
  <dcterms:modified xsi:type="dcterms:W3CDTF">2023-06-27T09:21:00Z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2023-06-22T08:53:34Z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38f6c324-aeef-4787-bade-8d4776d70261</vt:lpwstr>
  </property>
  <property fmtid="{D5CDD505-2E9C-101B-9397-08002B2CF9AE}" pid="8" name="MSIP_Label_305f50f5-e953-4c63-867b-388561f41989_ContentBits">
    <vt:lpwstr>0</vt:lpwstr>
  </property>
</Properties>
</file>