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351F1A" w14:textId="77777777" w:rsidR="007466C1" w:rsidRPr="00F54202" w:rsidRDefault="007466C1" w:rsidP="007466C1">
      <w:pPr>
        <w:spacing w:after="0" w:line="240" w:lineRule="auto"/>
        <w:jc w:val="center"/>
        <w:rPr>
          <w:rFonts w:ascii="IBM Plex Sans" w:eastAsia="Times New Roman" w:hAnsi="IBM Plex Sans" w:cs="Times New Roman"/>
          <w:b/>
          <w:sz w:val="20"/>
          <w:szCs w:val="20"/>
          <w:lang w:val="en-US"/>
        </w:rPr>
      </w:pPr>
      <w:bookmarkStart w:id="0" w:name="Annexure_XII"/>
      <w:r w:rsidRPr="00F54202">
        <w:rPr>
          <w:rFonts w:ascii="IBM Plex Sans" w:eastAsia="Times New Roman" w:hAnsi="IBM Plex Sans" w:cs="Times New Roman"/>
          <w:b/>
          <w:sz w:val="20"/>
          <w:szCs w:val="20"/>
          <w:lang w:val="en-US"/>
        </w:rPr>
        <w:t>Annexure–</w:t>
      </w:r>
      <w:r>
        <w:rPr>
          <w:rFonts w:ascii="IBM Plex Sans" w:eastAsia="Times New Roman" w:hAnsi="IBM Plex Sans" w:cs="Times New Roman"/>
          <w:b/>
          <w:sz w:val="20"/>
          <w:szCs w:val="20"/>
          <w:lang w:val="en-US"/>
        </w:rPr>
        <w:t>XII</w:t>
      </w:r>
    </w:p>
    <w:bookmarkEnd w:id="0"/>
    <w:p w14:paraId="20F6F8B2" w14:textId="77777777" w:rsidR="007466C1" w:rsidRPr="00F54202" w:rsidRDefault="007466C1" w:rsidP="007466C1">
      <w:pPr>
        <w:overflowPunct w:val="0"/>
        <w:adjustRightInd w:val="0"/>
        <w:spacing w:after="0"/>
        <w:jc w:val="both"/>
        <w:rPr>
          <w:rFonts w:ascii="IBM Plex Sans" w:eastAsia="Times New Roman" w:hAnsi="IBM Plex Sans" w:cs="Times New Roman"/>
          <w:sz w:val="20"/>
          <w:szCs w:val="20"/>
          <w:lang w:val="en-US"/>
        </w:rPr>
      </w:pPr>
    </w:p>
    <w:p w14:paraId="3DAF8CBF" w14:textId="77777777" w:rsidR="007466C1" w:rsidRPr="00F54202" w:rsidRDefault="007466C1" w:rsidP="007466C1">
      <w:pPr>
        <w:overflowPunct w:val="0"/>
        <w:adjustRightInd w:val="0"/>
        <w:spacing w:after="0"/>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 xml:space="preserve">NOTWITHSTANDING the generality of the above, the software provided complies with the following provisions </w:t>
      </w:r>
      <w:proofErr w:type="gramStart"/>
      <w:r w:rsidRPr="00F54202">
        <w:rPr>
          <w:rFonts w:ascii="IBM Plex Sans" w:eastAsia="Times New Roman" w:hAnsi="IBM Plex Sans" w:cs="Times New Roman"/>
          <w:sz w:val="20"/>
          <w:szCs w:val="20"/>
          <w:lang w:val="en-US"/>
        </w:rPr>
        <w:t>in particular as</w:t>
      </w:r>
      <w:proofErr w:type="gramEnd"/>
      <w:r w:rsidRPr="00F54202">
        <w:rPr>
          <w:rFonts w:ascii="IBM Plex Sans" w:eastAsia="Times New Roman" w:hAnsi="IBM Plex Sans" w:cs="Times New Roman"/>
          <w:sz w:val="20"/>
          <w:szCs w:val="20"/>
          <w:lang w:val="en-US"/>
        </w:rPr>
        <w:t xml:space="preserve"> directed by SEBI / NSE.</w:t>
      </w:r>
    </w:p>
    <w:p w14:paraId="12B74B30" w14:textId="77777777" w:rsidR="007466C1" w:rsidRPr="00F54202" w:rsidRDefault="007466C1" w:rsidP="007466C1">
      <w:pPr>
        <w:overflowPunct w:val="0"/>
        <w:adjustRightInd w:val="0"/>
        <w:spacing w:after="0"/>
        <w:jc w:val="both"/>
        <w:rPr>
          <w:rFonts w:ascii="IBM Plex Sans" w:eastAsia="Times New Roman" w:hAnsi="IBM Plex Sans" w:cs="Times New Roman"/>
          <w:sz w:val="20"/>
          <w:szCs w:val="20"/>
          <w:lang w:val="en-US"/>
        </w:rPr>
      </w:pPr>
    </w:p>
    <w:tbl>
      <w:tblPr>
        <w:tblW w:w="8910" w:type="dxa"/>
        <w:tblInd w:w="198" w:type="dxa"/>
        <w:tblLook w:val="0000" w:firstRow="0" w:lastRow="0" w:firstColumn="0" w:lastColumn="0" w:noHBand="0" w:noVBand="0"/>
      </w:tblPr>
      <w:tblGrid>
        <w:gridCol w:w="1260"/>
        <w:gridCol w:w="5310"/>
        <w:gridCol w:w="2340"/>
      </w:tblGrid>
      <w:tr w:rsidR="007466C1" w:rsidRPr="00F54202" w14:paraId="15916E3D" w14:textId="77777777" w:rsidTr="00124B13">
        <w:trPr>
          <w:trHeight w:val="521"/>
        </w:trPr>
        <w:tc>
          <w:tcPr>
            <w:tcW w:w="1260" w:type="dxa"/>
            <w:vMerge w:val="restart"/>
            <w:tcBorders>
              <w:top w:val="single" w:sz="4" w:space="0" w:color="auto"/>
              <w:left w:val="single" w:sz="4" w:space="0" w:color="auto"/>
              <w:bottom w:val="single" w:sz="4" w:space="0" w:color="auto"/>
              <w:right w:val="single" w:sz="4" w:space="0" w:color="auto"/>
            </w:tcBorders>
            <w:shd w:val="clear" w:color="auto" w:fill="auto"/>
          </w:tcPr>
          <w:p w14:paraId="1CCC3513" w14:textId="77777777" w:rsidR="007466C1" w:rsidRPr="00F54202" w:rsidRDefault="007466C1" w:rsidP="00124B13">
            <w:pPr>
              <w:spacing w:after="0" w:line="240" w:lineRule="auto"/>
              <w:jc w:val="both"/>
              <w:rPr>
                <w:rFonts w:ascii="IBM Plex Sans" w:eastAsia="Times New Roman" w:hAnsi="IBM Plex Sans" w:cs="Times New Roman"/>
                <w:b/>
                <w:sz w:val="20"/>
                <w:szCs w:val="20"/>
                <w:lang w:val="en-US"/>
              </w:rPr>
            </w:pPr>
            <w:r w:rsidRPr="00F54202">
              <w:rPr>
                <w:rFonts w:ascii="IBM Plex Sans" w:eastAsia="Times New Roman" w:hAnsi="IBM Plex Sans" w:cs="Times New Roman"/>
                <w:b/>
                <w:sz w:val="20"/>
                <w:szCs w:val="20"/>
                <w:lang w:val="en-US"/>
              </w:rPr>
              <w:t>Sr. No.</w:t>
            </w:r>
          </w:p>
        </w:tc>
        <w:tc>
          <w:tcPr>
            <w:tcW w:w="5310" w:type="dxa"/>
            <w:vMerge w:val="restart"/>
            <w:tcBorders>
              <w:top w:val="single" w:sz="4" w:space="0" w:color="auto"/>
              <w:left w:val="single" w:sz="4" w:space="0" w:color="auto"/>
              <w:bottom w:val="single" w:sz="4" w:space="0" w:color="auto"/>
              <w:right w:val="single" w:sz="4" w:space="0" w:color="auto"/>
            </w:tcBorders>
            <w:shd w:val="clear" w:color="auto" w:fill="auto"/>
          </w:tcPr>
          <w:p w14:paraId="611CDC10" w14:textId="77777777" w:rsidR="007466C1" w:rsidRPr="00F54202" w:rsidRDefault="007466C1" w:rsidP="00124B13">
            <w:pPr>
              <w:autoSpaceDE w:val="0"/>
              <w:autoSpaceDN w:val="0"/>
              <w:adjustRightInd w:val="0"/>
              <w:spacing w:after="0" w:line="240" w:lineRule="auto"/>
              <w:jc w:val="both"/>
              <w:rPr>
                <w:rFonts w:ascii="IBM Plex Sans" w:eastAsia="Times New Roman" w:hAnsi="IBM Plex Sans" w:cs="Times New Roman"/>
                <w:b/>
                <w:bCs/>
                <w:sz w:val="20"/>
                <w:szCs w:val="20"/>
                <w:lang w:val="en-US"/>
              </w:rPr>
            </w:pPr>
            <w:r w:rsidRPr="00F54202">
              <w:rPr>
                <w:rFonts w:ascii="IBM Plex Sans" w:eastAsia="Times New Roman" w:hAnsi="IBM Plex Sans" w:cs="Times New Roman"/>
                <w:b/>
                <w:sz w:val="20"/>
                <w:szCs w:val="20"/>
                <w:lang w:eastAsia="en-IN"/>
              </w:rPr>
              <w:t>Requirement</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tcPr>
          <w:p w14:paraId="2B333A90" w14:textId="77777777" w:rsidR="007466C1" w:rsidRPr="00F54202" w:rsidRDefault="007466C1" w:rsidP="00124B13">
            <w:pPr>
              <w:autoSpaceDE w:val="0"/>
              <w:autoSpaceDN w:val="0"/>
              <w:adjustRightInd w:val="0"/>
              <w:spacing w:after="0" w:line="240" w:lineRule="auto"/>
              <w:jc w:val="both"/>
              <w:rPr>
                <w:rFonts w:ascii="IBM Plex Sans" w:eastAsia="Times New Roman" w:hAnsi="IBM Plex Sans" w:cs="Times New Roman"/>
                <w:b/>
                <w:sz w:val="20"/>
                <w:szCs w:val="20"/>
                <w:lang w:eastAsia="en-IN"/>
              </w:rPr>
            </w:pPr>
            <w:r w:rsidRPr="00F54202">
              <w:rPr>
                <w:rFonts w:ascii="IBM Plex Sans" w:eastAsia="Times New Roman" w:hAnsi="IBM Plex Sans" w:cs="Times New Roman"/>
                <w:b/>
                <w:sz w:val="20"/>
                <w:szCs w:val="20"/>
                <w:lang w:eastAsia="en-IN"/>
              </w:rPr>
              <w:t xml:space="preserve">Whether Complied </w:t>
            </w:r>
          </w:p>
          <w:p w14:paraId="675A7D9A" w14:textId="77777777" w:rsidR="007466C1" w:rsidRPr="00F54202" w:rsidRDefault="007466C1" w:rsidP="00124B13">
            <w:pPr>
              <w:autoSpaceDE w:val="0"/>
              <w:autoSpaceDN w:val="0"/>
              <w:adjustRightInd w:val="0"/>
              <w:spacing w:after="0" w:line="240" w:lineRule="auto"/>
              <w:jc w:val="both"/>
              <w:rPr>
                <w:rFonts w:ascii="IBM Plex Sans" w:eastAsia="Times New Roman" w:hAnsi="IBM Plex Sans" w:cs="Times New Roman"/>
                <w:b/>
                <w:sz w:val="20"/>
                <w:szCs w:val="20"/>
                <w:lang w:eastAsia="en-IN"/>
              </w:rPr>
            </w:pPr>
            <w:r w:rsidRPr="00F54202">
              <w:rPr>
                <w:rFonts w:ascii="IBM Plex Sans" w:eastAsia="Times New Roman" w:hAnsi="IBM Plex Sans" w:cs="Times New Roman"/>
                <w:b/>
                <w:sz w:val="20"/>
                <w:szCs w:val="20"/>
                <w:lang w:eastAsia="en-IN"/>
              </w:rPr>
              <w:t>(Yes / No)</w:t>
            </w:r>
          </w:p>
        </w:tc>
      </w:tr>
      <w:tr w:rsidR="007466C1" w:rsidRPr="00F54202" w14:paraId="662E5A4A" w14:textId="77777777" w:rsidTr="00124B13">
        <w:trPr>
          <w:trHeight w:val="464"/>
        </w:trPr>
        <w:tc>
          <w:tcPr>
            <w:tcW w:w="1260" w:type="dxa"/>
            <w:vMerge/>
            <w:tcBorders>
              <w:top w:val="single" w:sz="4" w:space="0" w:color="auto"/>
              <w:left w:val="single" w:sz="4" w:space="0" w:color="auto"/>
              <w:bottom w:val="single" w:sz="4" w:space="0" w:color="auto"/>
              <w:right w:val="single" w:sz="4" w:space="0" w:color="auto"/>
            </w:tcBorders>
            <w:vAlign w:val="center"/>
          </w:tcPr>
          <w:p w14:paraId="073EE637" w14:textId="77777777" w:rsidR="007466C1" w:rsidRPr="00F54202" w:rsidRDefault="007466C1" w:rsidP="00124B13">
            <w:pPr>
              <w:spacing w:after="0" w:line="240" w:lineRule="auto"/>
              <w:jc w:val="both"/>
              <w:rPr>
                <w:rFonts w:ascii="IBM Plex Sans" w:eastAsia="Times New Roman" w:hAnsi="IBM Plex Sans" w:cs="Times New Roman"/>
                <w:sz w:val="20"/>
                <w:szCs w:val="20"/>
                <w:lang w:val="en-US"/>
              </w:rPr>
            </w:pPr>
          </w:p>
        </w:tc>
        <w:tc>
          <w:tcPr>
            <w:tcW w:w="5310" w:type="dxa"/>
            <w:vMerge/>
            <w:tcBorders>
              <w:top w:val="single" w:sz="4" w:space="0" w:color="auto"/>
              <w:left w:val="single" w:sz="4" w:space="0" w:color="auto"/>
              <w:bottom w:val="single" w:sz="4" w:space="0" w:color="auto"/>
              <w:right w:val="single" w:sz="4" w:space="0" w:color="auto"/>
            </w:tcBorders>
            <w:vAlign w:val="center"/>
          </w:tcPr>
          <w:p w14:paraId="13128D79" w14:textId="77777777" w:rsidR="007466C1" w:rsidRPr="00F54202" w:rsidRDefault="007466C1" w:rsidP="00124B13">
            <w:pPr>
              <w:spacing w:after="0" w:line="240" w:lineRule="auto"/>
              <w:jc w:val="both"/>
              <w:rPr>
                <w:rFonts w:ascii="IBM Plex Sans" w:eastAsia="Times New Roman" w:hAnsi="IBM Plex Sans" w:cs="Times New Roman"/>
                <w:b/>
                <w:bCs/>
                <w:sz w:val="20"/>
                <w:szCs w:val="20"/>
                <w:lang w:val="en-US"/>
              </w:rPr>
            </w:pPr>
          </w:p>
        </w:tc>
        <w:tc>
          <w:tcPr>
            <w:tcW w:w="2340" w:type="dxa"/>
            <w:vMerge/>
            <w:tcBorders>
              <w:top w:val="single" w:sz="4" w:space="0" w:color="auto"/>
              <w:left w:val="single" w:sz="4" w:space="0" w:color="auto"/>
              <w:bottom w:val="single" w:sz="4" w:space="0" w:color="auto"/>
              <w:right w:val="single" w:sz="4" w:space="0" w:color="auto"/>
            </w:tcBorders>
            <w:vAlign w:val="center"/>
          </w:tcPr>
          <w:p w14:paraId="49CA04FE" w14:textId="77777777" w:rsidR="007466C1" w:rsidRPr="00F54202" w:rsidRDefault="007466C1" w:rsidP="00124B13">
            <w:pPr>
              <w:spacing w:after="0" w:line="240" w:lineRule="auto"/>
              <w:jc w:val="both"/>
              <w:rPr>
                <w:rFonts w:ascii="IBM Plex Sans" w:eastAsia="Times New Roman" w:hAnsi="IBM Plex Sans" w:cs="Times New Roman"/>
                <w:b/>
                <w:bCs/>
                <w:sz w:val="20"/>
                <w:szCs w:val="20"/>
                <w:lang w:val="en-US"/>
              </w:rPr>
            </w:pPr>
          </w:p>
        </w:tc>
      </w:tr>
      <w:tr w:rsidR="007466C1" w:rsidRPr="00F54202" w14:paraId="6C21E78D" w14:textId="77777777" w:rsidTr="00124B13">
        <w:trPr>
          <w:trHeight w:val="980"/>
        </w:trPr>
        <w:tc>
          <w:tcPr>
            <w:tcW w:w="1260" w:type="dxa"/>
            <w:tcBorders>
              <w:top w:val="nil"/>
              <w:left w:val="single" w:sz="4" w:space="0" w:color="auto"/>
              <w:bottom w:val="single" w:sz="4" w:space="0" w:color="auto"/>
              <w:right w:val="single" w:sz="4" w:space="0" w:color="auto"/>
            </w:tcBorders>
            <w:shd w:val="clear" w:color="auto" w:fill="auto"/>
          </w:tcPr>
          <w:p w14:paraId="1B4AB6CE" w14:textId="77777777" w:rsidR="007466C1" w:rsidRPr="00F54202" w:rsidRDefault="007466C1" w:rsidP="00124B13">
            <w:pPr>
              <w:spacing w:after="0" w:line="240" w:lineRule="auto"/>
              <w:ind w:firstLineChars="200" w:firstLine="400"/>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1</w:t>
            </w:r>
          </w:p>
        </w:tc>
        <w:tc>
          <w:tcPr>
            <w:tcW w:w="5310" w:type="dxa"/>
            <w:tcBorders>
              <w:top w:val="nil"/>
              <w:left w:val="nil"/>
              <w:bottom w:val="single" w:sz="4" w:space="0" w:color="auto"/>
              <w:right w:val="single" w:sz="4" w:space="0" w:color="auto"/>
            </w:tcBorders>
            <w:shd w:val="clear" w:color="auto" w:fill="auto"/>
          </w:tcPr>
          <w:p w14:paraId="1C53C239" w14:textId="77777777" w:rsidR="007466C1" w:rsidRPr="00F54202" w:rsidRDefault="007466C1"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 xml:space="preserve">All transaction logs are maintained with proper audit facilities along with unique numbering for orders/trades (a write-up in this regard shall be enclosed) </w:t>
            </w:r>
          </w:p>
        </w:tc>
        <w:tc>
          <w:tcPr>
            <w:tcW w:w="2340" w:type="dxa"/>
            <w:tcBorders>
              <w:top w:val="nil"/>
              <w:left w:val="nil"/>
              <w:bottom w:val="single" w:sz="4" w:space="0" w:color="auto"/>
              <w:right w:val="single" w:sz="4" w:space="0" w:color="auto"/>
            </w:tcBorders>
            <w:shd w:val="clear" w:color="auto" w:fill="auto"/>
          </w:tcPr>
          <w:p w14:paraId="544EBFD3" w14:textId="77777777" w:rsidR="007466C1" w:rsidRPr="00F54202" w:rsidRDefault="007466C1" w:rsidP="00124B13">
            <w:pPr>
              <w:spacing w:after="0" w:line="240" w:lineRule="auto"/>
              <w:ind w:firstLineChars="200" w:firstLine="400"/>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 </w:t>
            </w:r>
          </w:p>
        </w:tc>
      </w:tr>
      <w:tr w:rsidR="007466C1" w:rsidRPr="00F54202" w14:paraId="1F78EEBD" w14:textId="77777777" w:rsidTr="00124B13">
        <w:trPr>
          <w:trHeight w:val="630"/>
        </w:trPr>
        <w:tc>
          <w:tcPr>
            <w:tcW w:w="1260" w:type="dxa"/>
            <w:tcBorders>
              <w:top w:val="nil"/>
              <w:left w:val="single" w:sz="4" w:space="0" w:color="auto"/>
              <w:bottom w:val="single" w:sz="4" w:space="0" w:color="auto"/>
              <w:right w:val="single" w:sz="4" w:space="0" w:color="auto"/>
            </w:tcBorders>
            <w:shd w:val="clear" w:color="auto" w:fill="auto"/>
          </w:tcPr>
          <w:p w14:paraId="6BBD0D9F" w14:textId="77777777" w:rsidR="007466C1" w:rsidRPr="00F54202" w:rsidRDefault="007466C1" w:rsidP="00124B13">
            <w:pPr>
              <w:spacing w:after="0" w:line="240" w:lineRule="auto"/>
              <w:ind w:firstLineChars="200" w:firstLine="400"/>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2</w:t>
            </w:r>
          </w:p>
        </w:tc>
        <w:tc>
          <w:tcPr>
            <w:tcW w:w="5310" w:type="dxa"/>
            <w:tcBorders>
              <w:top w:val="nil"/>
              <w:left w:val="nil"/>
              <w:bottom w:val="single" w:sz="4" w:space="0" w:color="auto"/>
              <w:right w:val="single" w:sz="4" w:space="0" w:color="auto"/>
            </w:tcBorders>
            <w:shd w:val="clear" w:color="auto" w:fill="auto"/>
          </w:tcPr>
          <w:p w14:paraId="4EC08146" w14:textId="77777777" w:rsidR="007466C1" w:rsidRPr="00F54202" w:rsidRDefault="007466C1"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 xml:space="preserve">Logic/priorities </w:t>
            </w:r>
            <w:proofErr w:type="gramStart"/>
            <w:r w:rsidRPr="00F54202">
              <w:rPr>
                <w:rFonts w:ascii="IBM Plex Sans" w:eastAsia="Times New Roman" w:hAnsi="IBM Plex Sans" w:cs="Times New Roman"/>
                <w:sz w:val="20"/>
                <w:szCs w:val="20"/>
                <w:lang w:eastAsia="en-IN"/>
              </w:rPr>
              <w:t>similar to</w:t>
            </w:r>
            <w:proofErr w:type="gramEnd"/>
            <w:r w:rsidRPr="00F54202">
              <w:rPr>
                <w:rFonts w:ascii="IBM Plex Sans" w:eastAsia="Times New Roman" w:hAnsi="IBM Plex Sans" w:cs="Times New Roman"/>
                <w:sz w:val="20"/>
                <w:szCs w:val="20"/>
                <w:lang w:eastAsia="en-IN"/>
              </w:rPr>
              <w:t xml:space="preserve"> those used by the Exchange is used to treat client orders. </w:t>
            </w:r>
          </w:p>
        </w:tc>
        <w:tc>
          <w:tcPr>
            <w:tcW w:w="2340" w:type="dxa"/>
            <w:tcBorders>
              <w:top w:val="nil"/>
              <w:left w:val="nil"/>
              <w:bottom w:val="single" w:sz="4" w:space="0" w:color="auto"/>
              <w:right w:val="single" w:sz="4" w:space="0" w:color="auto"/>
            </w:tcBorders>
            <w:shd w:val="clear" w:color="auto" w:fill="auto"/>
          </w:tcPr>
          <w:p w14:paraId="4A2C45A7" w14:textId="77777777" w:rsidR="007466C1" w:rsidRPr="00F54202" w:rsidRDefault="007466C1" w:rsidP="00124B13">
            <w:pPr>
              <w:spacing w:after="0" w:line="240" w:lineRule="auto"/>
              <w:ind w:firstLineChars="200" w:firstLine="400"/>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 </w:t>
            </w:r>
          </w:p>
        </w:tc>
      </w:tr>
      <w:tr w:rsidR="007466C1" w:rsidRPr="00F54202" w14:paraId="273DA72E" w14:textId="77777777" w:rsidTr="00124B13">
        <w:trPr>
          <w:trHeight w:val="630"/>
        </w:trPr>
        <w:tc>
          <w:tcPr>
            <w:tcW w:w="1260" w:type="dxa"/>
            <w:tcBorders>
              <w:top w:val="nil"/>
              <w:left w:val="single" w:sz="4" w:space="0" w:color="auto"/>
              <w:bottom w:val="single" w:sz="4" w:space="0" w:color="auto"/>
              <w:right w:val="single" w:sz="4" w:space="0" w:color="auto"/>
            </w:tcBorders>
            <w:shd w:val="clear" w:color="auto" w:fill="auto"/>
          </w:tcPr>
          <w:p w14:paraId="7D6B7EAE" w14:textId="77777777" w:rsidR="007466C1" w:rsidRPr="00F54202" w:rsidRDefault="007466C1" w:rsidP="00124B13">
            <w:pPr>
              <w:spacing w:after="0" w:line="240" w:lineRule="auto"/>
              <w:ind w:firstLineChars="200" w:firstLine="400"/>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3</w:t>
            </w:r>
          </w:p>
        </w:tc>
        <w:tc>
          <w:tcPr>
            <w:tcW w:w="5310" w:type="dxa"/>
            <w:tcBorders>
              <w:top w:val="nil"/>
              <w:left w:val="nil"/>
              <w:bottom w:val="single" w:sz="4" w:space="0" w:color="auto"/>
              <w:right w:val="single" w:sz="4" w:space="0" w:color="auto"/>
            </w:tcBorders>
            <w:shd w:val="clear" w:color="auto" w:fill="auto"/>
          </w:tcPr>
          <w:p w14:paraId="1FE7D7FE" w14:textId="77777777" w:rsidR="007466C1" w:rsidRPr="00F54202" w:rsidRDefault="007466C1"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 xml:space="preserve">Provision for maintenance of all activities / alerts log with audit trail available </w:t>
            </w:r>
          </w:p>
        </w:tc>
        <w:tc>
          <w:tcPr>
            <w:tcW w:w="2340" w:type="dxa"/>
            <w:tcBorders>
              <w:top w:val="nil"/>
              <w:left w:val="nil"/>
              <w:bottom w:val="single" w:sz="4" w:space="0" w:color="auto"/>
              <w:right w:val="single" w:sz="4" w:space="0" w:color="auto"/>
            </w:tcBorders>
            <w:shd w:val="clear" w:color="auto" w:fill="auto"/>
          </w:tcPr>
          <w:p w14:paraId="1C55EBA4" w14:textId="77777777" w:rsidR="007466C1" w:rsidRPr="00F54202" w:rsidRDefault="007466C1" w:rsidP="00124B13">
            <w:pPr>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 </w:t>
            </w:r>
          </w:p>
        </w:tc>
      </w:tr>
      <w:tr w:rsidR="007466C1" w:rsidRPr="00F54202" w14:paraId="73A537AA" w14:textId="77777777" w:rsidTr="00124B13">
        <w:trPr>
          <w:trHeight w:val="945"/>
        </w:trPr>
        <w:tc>
          <w:tcPr>
            <w:tcW w:w="1260" w:type="dxa"/>
            <w:tcBorders>
              <w:top w:val="single" w:sz="4" w:space="0" w:color="auto"/>
              <w:left w:val="single" w:sz="4" w:space="0" w:color="auto"/>
              <w:bottom w:val="single" w:sz="4" w:space="0" w:color="auto"/>
              <w:right w:val="single" w:sz="4" w:space="0" w:color="auto"/>
            </w:tcBorders>
            <w:shd w:val="clear" w:color="auto" w:fill="auto"/>
          </w:tcPr>
          <w:p w14:paraId="034356D2" w14:textId="77777777" w:rsidR="007466C1" w:rsidRPr="00F54202" w:rsidRDefault="007466C1" w:rsidP="00124B13">
            <w:pPr>
              <w:spacing w:after="0" w:line="240" w:lineRule="auto"/>
              <w:ind w:firstLineChars="200" w:firstLine="400"/>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4</w:t>
            </w:r>
          </w:p>
        </w:tc>
        <w:tc>
          <w:tcPr>
            <w:tcW w:w="5310" w:type="dxa"/>
            <w:tcBorders>
              <w:top w:val="single" w:sz="4" w:space="0" w:color="auto"/>
              <w:left w:val="nil"/>
              <w:bottom w:val="single" w:sz="4" w:space="0" w:color="auto"/>
              <w:right w:val="single" w:sz="4" w:space="0" w:color="auto"/>
            </w:tcBorders>
            <w:shd w:val="clear" w:color="auto" w:fill="auto"/>
          </w:tcPr>
          <w:p w14:paraId="4966783A" w14:textId="77777777" w:rsidR="007466C1" w:rsidRPr="00F54202" w:rsidRDefault="007466C1"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 xml:space="preserve">Smart order routing (SOR) server internally generates unique numbering for all client orders/ trades.  </w:t>
            </w:r>
          </w:p>
        </w:tc>
        <w:tc>
          <w:tcPr>
            <w:tcW w:w="2340" w:type="dxa"/>
            <w:tcBorders>
              <w:top w:val="single" w:sz="4" w:space="0" w:color="auto"/>
              <w:left w:val="nil"/>
              <w:bottom w:val="single" w:sz="4" w:space="0" w:color="auto"/>
              <w:right w:val="single" w:sz="4" w:space="0" w:color="auto"/>
            </w:tcBorders>
            <w:shd w:val="clear" w:color="auto" w:fill="auto"/>
          </w:tcPr>
          <w:p w14:paraId="7B1F1CEA" w14:textId="77777777" w:rsidR="007466C1" w:rsidRPr="00F54202" w:rsidRDefault="007466C1" w:rsidP="00124B13">
            <w:pPr>
              <w:spacing w:after="0" w:line="240" w:lineRule="auto"/>
              <w:ind w:firstLineChars="200" w:firstLine="400"/>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 </w:t>
            </w:r>
          </w:p>
        </w:tc>
      </w:tr>
      <w:tr w:rsidR="007466C1" w:rsidRPr="00F54202" w14:paraId="5EB07A92" w14:textId="77777777" w:rsidTr="00124B13">
        <w:trPr>
          <w:trHeight w:val="638"/>
        </w:trPr>
        <w:tc>
          <w:tcPr>
            <w:tcW w:w="1260" w:type="dxa"/>
            <w:tcBorders>
              <w:top w:val="single" w:sz="4" w:space="0" w:color="auto"/>
              <w:left w:val="single" w:sz="4" w:space="0" w:color="auto"/>
              <w:bottom w:val="single" w:sz="4" w:space="0" w:color="auto"/>
              <w:right w:val="single" w:sz="4" w:space="0" w:color="auto"/>
            </w:tcBorders>
            <w:shd w:val="clear" w:color="auto" w:fill="auto"/>
          </w:tcPr>
          <w:p w14:paraId="24555BF0" w14:textId="77777777" w:rsidR="007466C1" w:rsidRPr="00F54202" w:rsidRDefault="007466C1" w:rsidP="00124B13">
            <w:pPr>
              <w:spacing w:after="0" w:line="240" w:lineRule="auto"/>
              <w:ind w:firstLineChars="200" w:firstLine="400"/>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5</w:t>
            </w:r>
          </w:p>
        </w:tc>
        <w:tc>
          <w:tcPr>
            <w:tcW w:w="5310" w:type="dxa"/>
            <w:tcBorders>
              <w:top w:val="single" w:sz="4" w:space="0" w:color="auto"/>
              <w:left w:val="nil"/>
              <w:bottom w:val="single" w:sz="4" w:space="0" w:color="auto"/>
              <w:right w:val="single" w:sz="4" w:space="0" w:color="auto"/>
            </w:tcBorders>
            <w:shd w:val="clear" w:color="auto" w:fill="auto"/>
          </w:tcPr>
          <w:p w14:paraId="79B4BE4E" w14:textId="77777777" w:rsidR="007466C1" w:rsidRPr="00F54202" w:rsidRDefault="007466C1"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 xml:space="preserve">Adequate provisions for maintaining back-up systems and data storage capacity are available. </w:t>
            </w:r>
          </w:p>
        </w:tc>
        <w:tc>
          <w:tcPr>
            <w:tcW w:w="2340" w:type="dxa"/>
            <w:tcBorders>
              <w:top w:val="single" w:sz="4" w:space="0" w:color="auto"/>
              <w:left w:val="nil"/>
              <w:bottom w:val="single" w:sz="4" w:space="0" w:color="auto"/>
              <w:right w:val="single" w:sz="4" w:space="0" w:color="auto"/>
            </w:tcBorders>
            <w:shd w:val="clear" w:color="auto" w:fill="auto"/>
          </w:tcPr>
          <w:p w14:paraId="25F5B86A" w14:textId="77777777" w:rsidR="007466C1" w:rsidRPr="00F54202" w:rsidRDefault="007466C1" w:rsidP="00124B13">
            <w:pPr>
              <w:spacing w:after="0" w:line="240" w:lineRule="auto"/>
              <w:ind w:firstLineChars="200" w:firstLine="400"/>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 </w:t>
            </w:r>
          </w:p>
        </w:tc>
      </w:tr>
      <w:tr w:rsidR="007466C1" w:rsidRPr="00F54202" w14:paraId="21ABD36D" w14:textId="77777777" w:rsidTr="00124B13">
        <w:trPr>
          <w:trHeight w:val="962"/>
        </w:trPr>
        <w:tc>
          <w:tcPr>
            <w:tcW w:w="1260" w:type="dxa"/>
            <w:tcBorders>
              <w:top w:val="nil"/>
              <w:left w:val="single" w:sz="4" w:space="0" w:color="auto"/>
              <w:bottom w:val="single" w:sz="4" w:space="0" w:color="auto"/>
              <w:right w:val="single" w:sz="4" w:space="0" w:color="auto"/>
            </w:tcBorders>
            <w:shd w:val="clear" w:color="auto" w:fill="auto"/>
          </w:tcPr>
          <w:p w14:paraId="335B187E" w14:textId="77777777" w:rsidR="007466C1" w:rsidRPr="00F54202" w:rsidRDefault="007466C1" w:rsidP="00124B13">
            <w:pPr>
              <w:spacing w:after="0" w:line="240" w:lineRule="auto"/>
              <w:ind w:firstLineChars="200" w:firstLine="400"/>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6</w:t>
            </w:r>
          </w:p>
        </w:tc>
        <w:tc>
          <w:tcPr>
            <w:tcW w:w="5310" w:type="dxa"/>
            <w:tcBorders>
              <w:top w:val="nil"/>
              <w:left w:val="nil"/>
              <w:bottom w:val="single" w:sz="4" w:space="0" w:color="auto"/>
              <w:right w:val="single" w:sz="4" w:space="0" w:color="auto"/>
            </w:tcBorders>
            <w:shd w:val="clear" w:color="auto" w:fill="auto"/>
          </w:tcPr>
          <w:p w14:paraId="48C7715D" w14:textId="77777777" w:rsidR="007466C1" w:rsidRPr="00F54202" w:rsidRDefault="007466C1"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Adequate provisions for capacity planning including provisions to monitor system capacity utilisation and scalability of system on capacity utilisation are available</w:t>
            </w:r>
          </w:p>
        </w:tc>
        <w:tc>
          <w:tcPr>
            <w:tcW w:w="2340" w:type="dxa"/>
            <w:tcBorders>
              <w:top w:val="nil"/>
              <w:left w:val="nil"/>
              <w:bottom w:val="single" w:sz="4" w:space="0" w:color="auto"/>
              <w:right w:val="single" w:sz="4" w:space="0" w:color="auto"/>
            </w:tcBorders>
            <w:shd w:val="clear" w:color="auto" w:fill="auto"/>
          </w:tcPr>
          <w:p w14:paraId="2654E397" w14:textId="77777777" w:rsidR="007466C1" w:rsidRPr="00F54202" w:rsidRDefault="007466C1" w:rsidP="00124B13">
            <w:pPr>
              <w:spacing w:after="0" w:line="240" w:lineRule="auto"/>
              <w:ind w:firstLineChars="200" w:firstLine="400"/>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 </w:t>
            </w:r>
          </w:p>
        </w:tc>
      </w:tr>
      <w:tr w:rsidR="007466C1" w:rsidRPr="00F54202" w14:paraId="155F5DF2" w14:textId="77777777" w:rsidTr="00124B13">
        <w:trPr>
          <w:trHeight w:val="782"/>
        </w:trPr>
        <w:tc>
          <w:tcPr>
            <w:tcW w:w="1260" w:type="dxa"/>
            <w:tcBorders>
              <w:top w:val="nil"/>
              <w:left w:val="single" w:sz="4" w:space="0" w:color="auto"/>
              <w:bottom w:val="single" w:sz="4" w:space="0" w:color="auto"/>
              <w:right w:val="single" w:sz="4" w:space="0" w:color="auto"/>
            </w:tcBorders>
            <w:shd w:val="clear" w:color="auto" w:fill="auto"/>
          </w:tcPr>
          <w:p w14:paraId="57DABF95" w14:textId="77777777" w:rsidR="007466C1" w:rsidRPr="00F54202" w:rsidRDefault="007466C1" w:rsidP="00124B13">
            <w:pPr>
              <w:spacing w:after="0" w:line="240" w:lineRule="auto"/>
              <w:ind w:firstLineChars="200" w:firstLine="400"/>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7</w:t>
            </w:r>
          </w:p>
        </w:tc>
        <w:tc>
          <w:tcPr>
            <w:tcW w:w="5310" w:type="dxa"/>
            <w:tcBorders>
              <w:top w:val="nil"/>
              <w:left w:val="nil"/>
              <w:bottom w:val="single" w:sz="4" w:space="0" w:color="auto"/>
              <w:right w:val="single" w:sz="4" w:space="0" w:color="auto"/>
            </w:tcBorders>
            <w:shd w:val="clear" w:color="auto" w:fill="auto"/>
          </w:tcPr>
          <w:p w14:paraId="7DF49FCD" w14:textId="77777777" w:rsidR="007466C1" w:rsidRPr="00F54202" w:rsidRDefault="007466C1"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 xml:space="preserve">An alternative means of communication is arranged for in case of link failure </w:t>
            </w:r>
            <w:proofErr w:type="gramStart"/>
            <w:r w:rsidRPr="00F54202">
              <w:rPr>
                <w:rFonts w:ascii="IBM Plex Sans" w:eastAsia="Times New Roman" w:hAnsi="IBM Plex Sans" w:cs="Times New Roman"/>
                <w:sz w:val="20"/>
                <w:szCs w:val="20"/>
                <w:lang w:eastAsia="en-IN"/>
              </w:rPr>
              <w:t>( A</w:t>
            </w:r>
            <w:proofErr w:type="gramEnd"/>
            <w:r w:rsidRPr="00F54202">
              <w:rPr>
                <w:rFonts w:ascii="IBM Plex Sans" w:eastAsia="Times New Roman" w:hAnsi="IBM Plex Sans" w:cs="Times New Roman"/>
                <w:sz w:val="20"/>
                <w:szCs w:val="20"/>
                <w:lang w:eastAsia="en-IN"/>
              </w:rPr>
              <w:t xml:space="preserve"> write up shall be provided in this regard)</w:t>
            </w:r>
          </w:p>
        </w:tc>
        <w:tc>
          <w:tcPr>
            <w:tcW w:w="2340" w:type="dxa"/>
            <w:tcBorders>
              <w:top w:val="nil"/>
              <w:left w:val="nil"/>
              <w:bottom w:val="single" w:sz="4" w:space="0" w:color="auto"/>
              <w:right w:val="single" w:sz="4" w:space="0" w:color="auto"/>
            </w:tcBorders>
            <w:shd w:val="clear" w:color="auto" w:fill="auto"/>
          </w:tcPr>
          <w:p w14:paraId="2CA37229" w14:textId="77777777" w:rsidR="007466C1" w:rsidRPr="00F54202" w:rsidRDefault="007466C1" w:rsidP="00124B13">
            <w:pPr>
              <w:spacing w:after="0" w:line="240" w:lineRule="auto"/>
              <w:ind w:firstLineChars="200" w:firstLine="400"/>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 </w:t>
            </w:r>
          </w:p>
        </w:tc>
      </w:tr>
      <w:tr w:rsidR="007466C1" w:rsidRPr="00F54202" w14:paraId="51634F0C" w14:textId="77777777" w:rsidTr="00124B13">
        <w:trPr>
          <w:trHeight w:val="1088"/>
        </w:trPr>
        <w:tc>
          <w:tcPr>
            <w:tcW w:w="1260" w:type="dxa"/>
            <w:tcBorders>
              <w:top w:val="nil"/>
              <w:left w:val="single" w:sz="4" w:space="0" w:color="auto"/>
              <w:bottom w:val="single" w:sz="4" w:space="0" w:color="auto"/>
              <w:right w:val="single" w:sz="4" w:space="0" w:color="auto"/>
            </w:tcBorders>
            <w:shd w:val="clear" w:color="auto" w:fill="auto"/>
          </w:tcPr>
          <w:p w14:paraId="06A3D898" w14:textId="77777777" w:rsidR="007466C1" w:rsidRPr="00F54202" w:rsidRDefault="007466C1" w:rsidP="00124B13">
            <w:pPr>
              <w:spacing w:after="0" w:line="240" w:lineRule="auto"/>
              <w:ind w:firstLineChars="200" w:firstLine="400"/>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8</w:t>
            </w:r>
          </w:p>
        </w:tc>
        <w:tc>
          <w:tcPr>
            <w:tcW w:w="5310" w:type="dxa"/>
            <w:tcBorders>
              <w:top w:val="nil"/>
              <w:left w:val="nil"/>
              <w:bottom w:val="single" w:sz="4" w:space="0" w:color="auto"/>
              <w:right w:val="single" w:sz="4" w:space="0" w:color="auto"/>
            </w:tcBorders>
            <w:shd w:val="clear" w:color="auto" w:fill="auto"/>
          </w:tcPr>
          <w:p w14:paraId="56B9043A" w14:textId="77777777" w:rsidR="007466C1" w:rsidRPr="00F54202" w:rsidRDefault="007466C1"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The software provides for routing of orders through electronic / automated risk management systems of the broker to carry out appropriate validations of all risk parameters including Trading Limits, Position Limits and Exposure taken by client based on risk assessment, credit quality and available margins of the client. The software also provides for appropriate validations for Quantity Limits, Price Range Checks, Order Value, and Credit Checks before the orders are released to the Exchange</w:t>
            </w:r>
          </w:p>
        </w:tc>
        <w:tc>
          <w:tcPr>
            <w:tcW w:w="2340" w:type="dxa"/>
            <w:tcBorders>
              <w:top w:val="nil"/>
              <w:left w:val="nil"/>
              <w:bottom w:val="single" w:sz="4" w:space="0" w:color="auto"/>
              <w:right w:val="single" w:sz="4" w:space="0" w:color="auto"/>
            </w:tcBorders>
            <w:shd w:val="clear" w:color="auto" w:fill="auto"/>
          </w:tcPr>
          <w:p w14:paraId="12E40A14" w14:textId="77777777" w:rsidR="007466C1" w:rsidRPr="00F54202" w:rsidRDefault="007466C1" w:rsidP="00124B13">
            <w:pPr>
              <w:spacing w:after="0" w:line="240" w:lineRule="auto"/>
              <w:ind w:firstLineChars="200" w:firstLine="400"/>
              <w:jc w:val="both"/>
              <w:rPr>
                <w:rFonts w:ascii="IBM Plex Sans" w:eastAsia="Times New Roman" w:hAnsi="IBM Plex Sans" w:cs="Times New Roman"/>
                <w:color w:val="FF0000"/>
                <w:sz w:val="20"/>
                <w:szCs w:val="20"/>
                <w:lang w:val="en-US"/>
              </w:rPr>
            </w:pPr>
          </w:p>
        </w:tc>
      </w:tr>
      <w:tr w:rsidR="007466C1" w:rsidRPr="00F54202" w14:paraId="5884FFC5" w14:textId="77777777" w:rsidTr="00124B13">
        <w:trPr>
          <w:trHeight w:val="710"/>
        </w:trPr>
        <w:tc>
          <w:tcPr>
            <w:tcW w:w="1260" w:type="dxa"/>
            <w:tcBorders>
              <w:top w:val="nil"/>
              <w:left w:val="single" w:sz="4" w:space="0" w:color="auto"/>
              <w:bottom w:val="single" w:sz="4" w:space="0" w:color="auto"/>
              <w:right w:val="single" w:sz="4" w:space="0" w:color="auto"/>
            </w:tcBorders>
            <w:shd w:val="clear" w:color="auto" w:fill="auto"/>
          </w:tcPr>
          <w:p w14:paraId="69DC5886" w14:textId="77777777" w:rsidR="007466C1" w:rsidRPr="00F54202" w:rsidRDefault="007466C1" w:rsidP="00124B13">
            <w:pPr>
              <w:spacing w:after="0" w:line="240" w:lineRule="auto"/>
              <w:ind w:firstLineChars="200" w:firstLine="400"/>
              <w:jc w:val="both"/>
              <w:rPr>
                <w:rFonts w:ascii="IBM Plex Sans" w:eastAsia="Times New Roman" w:hAnsi="IBM Plex Sans" w:cs="Times New Roman"/>
                <w:bCs/>
                <w:color w:val="000000"/>
                <w:sz w:val="20"/>
                <w:szCs w:val="20"/>
                <w:lang w:val="en-US"/>
              </w:rPr>
            </w:pPr>
            <w:r w:rsidRPr="00F54202">
              <w:rPr>
                <w:rFonts w:ascii="IBM Plex Sans" w:eastAsia="Times New Roman" w:hAnsi="IBM Plex Sans" w:cs="Times New Roman"/>
                <w:bCs/>
                <w:color w:val="000000"/>
                <w:sz w:val="20"/>
                <w:szCs w:val="20"/>
                <w:lang w:val="en-US"/>
              </w:rPr>
              <w:t>9</w:t>
            </w:r>
          </w:p>
        </w:tc>
        <w:tc>
          <w:tcPr>
            <w:tcW w:w="5310" w:type="dxa"/>
            <w:tcBorders>
              <w:top w:val="nil"/>
              <w:left w:val="nil"/>
              <w:bottom w:val="single" w:sz="4" w:space="0" w:color="auto"/>
              <w:right w:val="single" w:sz="4" w:space="0" w:color="auto"/>
            </w:tcBorders>
            <w:shd w:val="clear" w:color="auto" w:fill="auto"/>
          </w:tcPr>
          <w:p w14:paraId="453CEC5D" w14:textId="77777777" w:rsidR="007466C1" w:rsidRPr="00F54202" w:rsidRDefault="007466C1"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 xml:space="preserve">The software provides for Net position that can be outstanding </w:t>
            </w:r>
            <w:proofErr w:type="gramStart"/>
            <w:r w:rsidRPr="00F54202">
              <w:rPr>
                <w:rFonts w:ascii="IBM Plex Sans" w:eastAsia="Times New Roman" w:hAnsi="IBM Plex Sans" w:cs="Times New Roman"/>
                <w:sz w:val="20"/>
                <w:szCs w:val="20"/>
                <w:lang w:eastAsia="en-IN"/>
              </w:rPr>
              <w:t>so as to</w:t>
            </w:r>
            <w:proofErr w:type="gramEnd"/>
            <w:r w:rsidRPr="00F54202">
              <w:rPr>
                <w:rFonts w:ascii="IBM Plex Sans" w:eastAsia="Times New Roman" w:hAnsi="IBM Plex Sans" w:cs="Times New Roman"/>
                <w:sz w:val="20"/>
                <w:szCs w:val="20"/>
                <w:lang w:eastAsia="en-IN"/>
              </w:rPr>
              <w:t xml:space="preserve"> fully cover the risk emanating from the trades with the available margins of the specific client.</w:t>
            </w:r>
          </w:p>
        </w:tc>
        <w:tc>
          <w:tcPr>
            <w:tcW w:w="2340" w:type="dxa"/>
            <w:tcBorders>
              <w:top w:val="nil"/>
              <w:left w:val="nil"/>
              <w:bottom w:val="single" w:sz="4" w:space="0" w:color="auto"/>
              <w:right w:val="single" w:sz="4" w:space="0" w:color="auto"/>
            </w:tcBorders>
            <w:shd w:val="clear" w:color="auto" w:fill="auto"/>
          </w:tcPr>
          <w:p w14:paraId="4D4483E6" w14:textId="77777777" w:rsidR="007466C1" w:rsidRPr="00F54202" w:rsidRDefault="007466C1" w:rsidP="00124B13">
            <w:pPr>
              <w:spacing w:after="0" w:line="240" w:lineRule="auto"/>
              <w:ind w:firstLineChars="200" w:firstLine="400"/>
              <w:jc w:val="both"/>
              <w:rPr>
                <w:rFonts w:ascii="IBM Plex Sans" w:eastAsia="Times New Roman" w:hAnsi="IBM Plex Sans" w:cs="Times New Roman"/>
                <w:color w:val="FF0000"/>
                <w:sz w:val="20"/>
                <w:szCs w:val="20"/>
                <w:lang w:val="en-US"/>
              </w:rPr>
            </w:pPr>
          </w:p>
        </w:tc>
      </w:tr>
    </w:tbl>
    <w:p w14:paraId="01551405" w14:textId="77777777" w:rsidR="007466C1" w:rsidRPr="00F54202" w:rsidRDefault="007466C1" w:rsidP="007466C1">
      <w:pPr>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br w:type="page"/>
      </w:r>
    </w:p>
    <w:tbl>
      <w:tblPr>
        <w:tblW w:w="8910" w:type="dxa"/>
        <w:tblInd w:w="198" w:type="dxa"/>
        <w:tblLook w:val="0000" w:firstRow="0" w:lastRow="0" w:firstColumn="0" w:lastColumn="0" w:noHBand="0" w:noVBand="0"/>
      </w:tblPr>
      <w:tblGrid>
        <w:gridCol w:w="1260"/>
        <w:gridCol w:w="5310"/>
        <w:gridCol w:w="2340"/>
      </w:tblGrid>
      <w:tr w:rsidR="007466C1" w:rsidRPr="00F54202" w14:paraId="43109D88" w14:textId="77777777" w:rsidTr="00124B13">
        <w:trPr>
          <w:trHeight w:val="881"/>
        </w:trPr>
        <w:tc>
          <w:tcPr>
            <w:tcW w:w="1260" w:type="dxa"/>
            <w:tcBorders>
              <w:top w:val="single" w:sz="4" w:space="0" w:color="auto"/>
              <w:left w:val="single" w:sz="4" w:space="0" w:color="auto"/>
              <w:bottom w:val="single" w:sz="4" w:space="0" w:color="auto"/>
              <w:right w:val="single" w:sz="4" w:space="0" w:color="auto"/>
            </w:tcBorders>
            <w:shd w:val="clear" w:color="auto" w:fill="auto"/>
          </w:tcPr>
          <w:p w14:paraId="37EDA310" w14:textId="77777777" w:rsidR="007466C1" w:rsidRPr="00F54202" w:rsidRDefault="007466C1" w:rsidP="00124B13">
            <w:pPr>
              <w:spacing w:after="0" w:line="240" w:lineRule="auto"/>
              <w:ind w:firstLineChars="200" w:firstLine="400"/>
              <w:jc w:val="both"/>
              <w:rPr>
                <w:rFonts w:ascii="IBM Plex Sans" w:eastAsia="Times New Roman" w:hAnsi="IBM Plex Sans" w:cs="Times New Roman"/>
                <w:color w:val="000000"/>
                <w:sz w:val="20"/>
                <w:szCs w:val="20"/>
                <w:lang w:val="en-US"/>
              </w:rPr>
            </w:pPr>
            <w:r w:rsidRPr="00F54202">
              <w:rPr>
                <w:rFonts w:ascii="IBM Plex Sans" w:eastAsia="Times New Roman" w:hAnsi="IBM Plex Sans" w:cs="Times New Roman"/>
                <w:color w:val="000000"/>
                <w:sz w:val="20"/>
                <w:szCs w:val="20"/>
                <w:lang w:val="en-US"/>
              </w:rPr>
              <w:lastRenderedPageBreak/>
              <w:t>10</w:t>
            </w:r>
          </w:p>
        </w:tc>
        <w:tc>
          <w:tcPr>
            <w:tcW w:w="5310" w:type="dxa"/>
            <w:tcBorders>
              <w:top w:val="single" w:sz="4" w:space="0" w:color="auto"/>
              <w:left w:val="nil"/>
              <w:bottom w:val="single" w:sz="4" w:space="0" w:color="auto"/>
              <w:right w:val="single" w:sz="4" w:space="0" w:color="auto"/>
            </w:tcBorders>
            <w:shd w:val="clear" w:color="auto" w:fill="auto"/>
          </w:tcPr>
          <w:p w14:paraId="32956CD7" w14:textId="77777777" w:rsidR="007466C1" w:rsidRPr="00F54202" w:rsidRDefault="007466C1"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The software provides for appropriate authority levels to ensure that the limits can be setup only by the persons authorized by the risk / compliance manager.</w:t>
            </w:r>
          </w:p>
        </w:tc>
        <w:tc>
          <w:tcPr>
            <w:tcW w:w="2340" w:type="dxa"/>
            <w:tcBorders>
              <w:top w:val="single" w:sz="4" w:space="0" w:color="auto"/>
              <w:left w:val="nil"/>
              <w:bottom w:val="single" w:sz="4" w:space="0" w:color="auto"/>
              <w:right w:val="single" w:sz="4" w:space="0" w:color="auto"/>
            </w:tcBorders>
            <w:shd w:val="clear" w:color="auto" w:fill="auto"/>
          </w:tcPr>
          <w:p w14:paraId="297D32BF" w14:textId="77777777" w:rsidR="007466C1" w:rsidRPr="00F54202" w:rsidRDefault="007466C1" w:rsidP="00124B13">
            <w:pPr>
              <w:spacing w:after="0" w:line="240" w:lineRule="auto"/>
              <w:ind w:firstLineChars="200" w:firstLine="400"/>
              <w:jc w:val="both"/>
              <w:rPr>
                <w:rFonts w:ascii="IBM Plex Sans" w:eastAsia="Times New Roman" w:hAnsi="IBM Plex Sans" w:cs="Times New Roman"/>
                <w:color w:val="FF0000"/>
                <w:sz w:val="20"/>
                <w:szCs w:val="20"/>
                <w:lang w:val="en-US"/>
              </w:rPr>
            </w:pPr>
            <w:r w:rsidRPr="00F54202">
              <w:rPr>
                <w:rFonts w:ascii="IBM Plex Sans" w:eastAsia="Times New Roman" w:hAnsi="IBM Plex Sans" w:cs="Times New Roman"/>
                <w:color w:val="FF0000"/>
                <w:sz w:val="20"/>
                <w:szCs w:val="20"/>
                <w:lang w:val="en-US"/>
              </w:rPr>
              <w:t> </w:t>
            </w:r>
          </w:p>
        </w:tc>
      </w:tr>
      <w:tr w:rsidR="007466C1" w:rsidRPr="00F54202" w14:paraId="0F18D6F4" w14:textId="77777777" w:rsidTr="00124B13">
        <w:trPr>
          <w:trHeight w:val="674"/>
        </w:trPr>
        <w:tc>
          <w:tcPr>
            <w:tcW w:w="1260" w:type="dxa"/>
            <w:tcBorders>
              <w:top w:val="nil"/>
              <w:left w:val="single" w:sz="4" w:space="0" w:color="auto"/>
              <w:bottom w:val="single" w:sz="4" w:space="0" w:color="auto"/>
              <w:right w:val="single" w:sz="4" w:space="0" w:color="auto"/>
            </w:tcBorders>
            <w:shd w:val="clear" w:color="auto" w:fill="auto"/>
          </w:tcPr>
          <w:p w14:paraId="6F784391" w14:textId="77777777" w:rsidR="007466C1" w:rsidRPr="00F54202" w:rsidRDefault="007466C1" w:rsidP="00124B13">
            <w:pPr>
              <w:spacing w:after="0" w:line="240" w:lineRule="auto"/>
              <w:ind w:firstLineChars="200" w:firstLine="400"/>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11</w:t>
            </w:r>
          </w:p>
        </w:tc>
        <w:tc>
          <w:tcPr>
            <w:tcW w:w="5310" w:type="dxa"/>
            <w:tcBorders>
              <w:top w:val="nil"/>
              <w:left w:val="nil"/>
              <w:bottom w:val="single" w:sz="4" w:space="0" w:color="auto"/>
              <w:right w:val="single" w:sz="4" w:space="0" w:color="auto"/>
            </w:tcBorders>
            <w:shd w:val="clear" w:color="auto" w:fill="auto"/>
          </w:tcPr>
          <w:p w14:paraId="73C517B8" w14:textId="77777777" w:rsidR="007466C1" w:rsidRPr="00F54202" w:rsidRDefault="007466C1"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 xml:space="preserve">All orders </w:t>
            </w:r>
            <w:proofErr w:type="gramStart"/>
            <w:r w:rsidRPr="00F54202">
              <w:rPr>
                <w:rFonts w:ascii="IBM Plex Sans" w:eastAsia="Times New Roman" w:hAnsi="IBM Plex Sans" w:cs="Times New Roman"/>
                <w:sz w:val="20"/>
                <w:szCs w:val="20"/>
                <w:lang w:eastAsia="en-IN"/>
              </w:rPr>
              <w:t>entered into</w:t>
            </w:r>
            <w:proofErr w:type="gramEnd"/>
            <w:r w:rsidRPr="00F54202">
              <w:rPr>
                <w:rFonts w:ascii="IBM Plex Sans" w:eastAsia="Times New Roman" w:hAnsi="IBM Plex Sans" w:cs="Times New Roman"/>
                <w:sz w:val="20"/>
                <w:szCs w:val="20"/>
                <w:lang w:eastAsia="en-IN"/>
              </w:rPr>
              <w:t xml:space="preserve"> the Smart order routing (SOR) system are offered to the market for matching and no cross trades are generated.</w:t>
            </w:r>
          </w:p>
        </w:tc>
        <w:tc>
          <w:tcPr>
            <w:tcW w:w="2340" w:type="dxa"/>
            <w:tcBorders>
              <w:top w:val="nil"/>
              <w:left w:val="nil"/>
              <w:bottom w:val="single" w:sz="4" w:space="0" w:color="auto"/>
              <w:right w:val="single" w:sz="4" w:space="0" w:color="auto"/>
            </w:tcBorders>
            <w:shd w:val="clear" w:color="auto" w:fill="auto"/>
          </w:tcPr>
          <w:p w14:paraId="6B2BEC65" w14:textId="77777777" w:rsidR="007466C1" w:rsidRPr="00F54202" w:rsidRDefault="007466C1" w:rsidP="00124B13">
            <w:pPr>
              <w:spacing w:after="0" w:line="240" w:lineRule="auto"/>
              <w:ind w:firstLineChars="200" w:firstLine="400"/>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 </w:t>
            </w:r>
          </w:p>
        </w:tc>
      </w:tr>
    </w:tbl>
    <w:p w14:paraId="46FB16A6" w14:textId="77777777" w:rsidR="007466C1" w:rsidRPr="00F54202" w:rsidRDefault="007466C1" w:rsidP="007466C1">
      <w:pPr>
        <w:spacing w:after="120" w:line="240" w:lineRule="auto"/>
        <w:jc w:val="both"/>
        <w:rPr>
          <w:rFonts w:ascii="IBM Plex Sans" w:eastAsia="Times New Roman" w:hAnsi="IBM Plex Sans" w:cs="Times New Roman"/>
          <w:sz w:val="20"/>
          <w:szCs w:val="20"/>
          <w:lang w:eastAsia="en-IN"/>
        </w:rPr>
      </w:pPr>
    </w:p>
    <w:p w14:paraId="29A0A723" w14:textId="77777777" w:rsidR="007466C1" w:rsidRDefault="007466C1" w:rsidP="007466C1">
      <w:pPr>
        <w:autoSpaceDE w:val="0"/>
        <w:autoSpaceDN w:val="0"/>
        <w:adjustRightInd w:val="0"/>
        <w:spacing w:after="85" w:line="240" w:lineRule="auto"/>
        <w:jc w:val="both"/>
        <w:rPr>
          <w:rFonts w:ascii="IBM Plex Sans" w:eastAsia="Times New Roman" w:hAnsi="IBM Plex Sans" w:cs="Times New Roman"/>
          <w:sz w:val="20"/>
          <w:szCs w:val="20"/>
          <w:lang w:val="en-US"/>
        </w:rPr>
      </w:pPr>
    </w:p>
    <w:p w14:paraId="1338B279" w14:textId="77777777" w:rsidR="007466C1" w:rsidRPr="00F54202" w:rsidRDefault="007466C1" w:rsidP="007466C1">
      <w:pPr>
        <w:autoSpaceDE w:val="0"/>
        <w:autoSpaceDN w:val="0"/>
        <w:adjustRightInd w:val="0"/>
        <w:spacing w:after="85"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 xml:space="preserve">We undertake that we would take all necessary steps to ensure that every new software and any change thereupon to the trading and/or risk management functionalities of the software will be tested as per the framework prescribed by SEBI / stock exchange before deployment of such new / modified software in securities market. </w:t>
      </w:r>
    </w:p>
    <w:p w14:paraId="01238DC0" w14:textId="77777777" w:rsidR="007466C1" w:rsidRPr="00F54202" w:rsidRDefault="007466C1" w:rsidP="007466C1">
      <w:pPr>
        <w:autoSpaceDE w:val="0"/>
        <w:autoSpaceDN w:val="0"/>
        <w:adjustRightInd w:val="0"/>
        <w:spacing w:after="85"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 xml:space="preserve"> We undertake to ensure that approval of the stock exchange is sought for all new / modified software and will comply with various requirements specified by SEBI or the stock exchange from time to time </w:t>
      </w:r>
      <w:proofErr w:type="gramStart"/>
      <w:r w:rsidRPr="00F54202">
        <w:rPr>
          <w:rFonts w:ascii="IBM Plex Sans" w:eastAsia="Times New Roman" w:hAnsi="IBM Plex Sans" w:cs="Times New Roman"/>
          <w:sz w:val="20"/>
          <w:szCs w:val="20"/>
          <w:lang w:val="en-US"/>
        </w:rPr>
        <w:t>with regard to</w:t>
      </w:r>
      <w:proofErr w:type="gramEnd"/>
      <w:r w:rsidRPr="00F54202">
        <w:rPr>
          <w:rFonts w:ascii="IBM Plex Sans" w:eastAsia="Times New Roman" w:hAnsi="IBM Plex Sans" w:cs="Times New Roman"/>
          <w:sz w:val="20"/>
          <w:szCs w:val="20"/>
          <w:lang w:val="en-US"/>
        </w:rPr>
        <w:t xml:space="preserve"> usage, testing and audit of the software. </w:t>
      </w:r>
    </w:p>
    <w:p w14:paraId="4C019E4B" w14:textId="77777777" w:rsidR="007466C1" w:rsidRPr="00F54202" w:rsidRDefault="007466C1" w:rsidP="007466C1">
      <w:pPr>
        <w:autoSpaceDE w:val="0"/>
        <w:autoSpaceDN w:val="0"/>
        <w:adjustRightInd w:val="0"/>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 xml:space="preserve">We undertake that the absolute liability arising from failure to comply with the above provisions shall lie entirely with us. </w:t>
      </w:r>
    </w:p>
    <w:p w14:paraId="75228F24" w14:textId="77777777" w:rsidR="007466C1" w:rsidRPr="00F54202" w:rsidRDefault="007466C1" w:rsidP="007466C1">
      <w:pPr>
        <w:autoSpaceDE w:val="0"/>
        <w:autoSpaceDN w:val="0"/>
        <w:adjustRightInd w:val="0"/>
        <w:spacing w:after="0" w:line="240" w:lineRule="auto"/>
        <w:jc w:val="both"/>
        <w:rPr>
          <w:rFonts w:ascii="IBM Plex Sans" w:eastAsia="Calibri" w:hAnsi="IBM Plex Sans" w:cs="Times New Roman"/>
          <w:color w:val="000000"/>
          <w:sz w:val="20"/>
          <w:szCs w:val="20"/>
          <w:lang w:val="en-US"/>
        </w:rPr>
      </w:pPr>
    </w:p>
    <w:p w14:paraId="49DA52F6" w14:textId="77777777" w:rsidR="007466C1" w:rsidRPr="00F54202" w:rsidRDefault="007466C1" w:rsidP="007466C1">
      <w:pPr>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 xml:space="preserve">We certify that all the statements are true and correct to the best of our knowledge.  We are aware that in case any of the statements are found to be incorrect or false, we are liable for disciplinary action. </w:t>
      </w:r>
    </w:p>
    <w:p w14:paraId="57AD7D02" w14:textId="77777777" w:rsidR="007466C1" w:rsidRPr="00F54202" w:rsidRDefault="007466C1" w:rsidP="007466C1">
      <w:pPr>
        <w:spacing w:after="120" w:line="240" w:lineRule="auto"/>
        <w:jc w:val="both"/>
        <w:rPr>
          <w:rFonts w:ascii="IBM Plex Sans" w:eastAsia="Times New Roman" w:hAnsi="IBM Plex Sans" w:cs="Times New Roman"/>
          <w:sz w:val="20"/>
          <w:szCs w:val="20"/>
          <w:lang w:eastAsia="en-IN"/>
        </w:rPr>
      </w:pPr>
    </w:p>
    <w:p w14:paraId="35A1A72B" w14:textId="77777777" w:rsidR="007466C1" w:rsidRPr="00F54202" w:rsidRDefault="007466C1" w:rsidP="007466C1">
      <w:pPr>
        <w:spacing w:after="120" w:line="240" w:lineRule="auto"/>
        <w:jc w:val="both"/>
        <w:rPr>
          <w:rFonts w:ascii="IBM Plex Sans" w:eastAsia="Times New Roman" w:hAnsi="IBM Plex Sans" w:cs="Times New Roman"/>
          <w:sz w:val="20"/>
          <w:szCs w:val="20"/>
          <w:lang w:eastAsia="en-IN"/>
        </w:rPr>
      </w:pPr>
    </w:p>
    <w:p w14:paraId="1596F69D" w14:textId="77777777" w:rsidR="007466C1" w:rsidRPr="00F54202" w:rsidRDefault="007466C1" w:rsidP="007466C1">
      <w:pPr>
        <w:spacing w:after="120" w:line="240" w:lineRule="auto"/>
        <w:jc w:val="both"/>
        <w:rPr>
          <w:rFonts w:ascii="IBM Plex Sans" w:eastAsia="Times New Roman" w:hAnsi="IBM Plex Sans" w:cs="Times New Roman"/>
          <w:sz w:val="20"/>
          <w:szCs w:val="20"/>
          <w:lang w:eastAsia="en-IN"/>
        </w:rPr>
      </w:pPr>
    </w:p>
    <w:p w14:paraId="5B7F9E47" w14:textId="77777777" w:rsidR="007466C1" w:rsidRPr="00F54202" w:rsidRDefault="007466C1" w:rsidP="007466C1">
      <w:pPr>
        <w:spacing w:after="12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val="en-US"/>
        </w:rPr>
        <w:t xml:space="preserve">Signed sealed and delivered by the Authorized representative of the </w:t>
      </w:r>
      <w:proofErr w:type="gramStart"/>
      <w:r>
        <w:rPr>
          <w:rFonts w:ascii="IBM Plex Sans" w:eastAsia="Times New Roman" w:hAnsi="IBM Plex Sans" w:cs="Times New Roman"/>
          <w:sz w:val="20"/>
          <w:szCs w:val="20"/>
          <w:lang w:val="en-US"/>
        </w:rPr>
        <w:t>Member</w:t>
      </w:r>
      <w:proofErr w:type="gramEnd"/>
    </w:p>
    <w:p w14:paraId="49E8014E" w14:textId="77777777" w:rsidR="007466C1" w:rsidRPr="00F54202" w:rsidRDefault="007466C1" w:rsidP="007466C1">
      <w:pPr>
        <w:spacing w:after="12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 xml:space="preserve">Date: </w:t>
      </w:r>
    </w:p>
    <w:p w14:paraId="6486DC4F" w14:textId="77777777" w:rsidR="007466C1" w:rsidRDefault="007466C1" w:rsidP="007466C1">
      <w:pPr>
        <w:jc w:val="both"/>
        <w:rPr>
          <w:rFonts w:ascii="IBM Plex Sans" w:hAnsi="IBM Plex Sans"/>
          <w:sz w:val="28"/>
          <w:szCs w:val="28"/>
        </w:rPr>
      </w:pPr>
      <w:r w:rsidRPr="00F54202">
        <w:rPr>
          <w:rFonts w:ascii="IBM Plex Sans" w:eastAsia="Times New Roman" w:hAnsi="IBM Plex Sans" w:cs="Times New Roman"/>
          <w:sz w:val="20"/>
          <w:szCs w:val="20"/>
          <w:lang w:eastAsia="en-IN"/>
        </w:rPr>
        <w:t>Place:</w:t>
      </w:r>
    </w:p>
    <w:p w14:paraId="4FA28088" w14:textId="77777777" w:rsidR="00E01BDF" w:rsidRPr="007466C1" w:rsidRDefault="007466C1" w:rsidP="007466C1"/>
    <w:sectPr w:rsidR="00E01BDF" w:rsidRPr="007466C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12FF7C" w14:textId="77777777" w:rsidR="003F0E47" w:rsidRDefault="003F0E47" w:rsidP="00F442A1">
      <w:pPr>
        <w:spacing w:after="0" w:line="240" w:lineRule="auto"/>
      </w:pPr>
      <w:r>
        <w:separator/>
      </w:r>
    </w:p>
  </w:endnote>
  <w:endnote w:type="continuationSeparator" w:id="0">
    <w:p w14:paraId="425734FC" w14:textId="77777777" w:rsidR="003F0E47" w:rsidRDefault="003F0E47" w:rsidP="00F44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BoldOblique">
    <w:altName w:val="Arial"/>
    <w:panose1 w:val="00000000000000000000"/>
    <w:charset w:val="00"/>
    <w:family w:val="auto"/>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BM Plex Sans">
    <w:altName w:val="IBM Plex Sans"/>
    <w:panose1 w:val="020B0503050000000000"/>
    <w:charset w:val="00"/>
    <w:family w:val="swiss"/>
    <w:notTrueType/>
    <w:pitch w:val="variable"/>
    <w:sig w:usb0="A000006F" w:usb1="5000207B"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F3539" w14:textId="77777777" w:rsidR="00DB35E5" w:rsidRDefault="00DB35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2BF9A" w14:textId="14344DDC" w:rsidR="00DB35E5" w:rsidRDefault="00DB35E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0D92F" w14:textId="77777777" w:rsidR="00DB35E5" w:rsidRDefault="00DB35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C4B4A" w14:textId="77777777" w:rsidR="003F0E47" w:rsidRDefault="003F0E47" w:rsidP="00F442A1">
      <w:pPr>
        <w:spacing w:after="0" w:line="240" w:lineRule="auto"/>
      </w:pPr>
      <w:r>
        <w:separator/>
      </w:r>
    </w:p>
  </w:footnote>
  <w:footnote w:type="continuationSeparator" w:id="0">
    <w:p w14:paraId="0B116B21" w14:textId="77777777" w:rsidR="003F0E47" w:rsidRDefault="003F0E47" w:rsidP="00F442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E1DF3" w14:textId="77777777" w:rsidR="00DB35E5" w:rsidRDefault="00DB35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36D43" w14:textId="77777777" w:rsidR="00DB35E5" w:rsidRDefault="00DB35E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1D416" w14:textId="77777777" w:rsidR="00DB35E5" w:rsidRDefault="00DB35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F0506E"/>
    <w:multiLevelType w:val="hybridMultilevel"/>
    <w:tmpl w:val="D2268EBA"/>
    <w:lvl w:ilvl="0" w:tplc="FFFFFFFF">
      <w:start w:val="1"/>
      <w:numFmt w:val="upperLetter"/>
      <w:lvlText w:val="%1."/>
      <w:lvlJc w:val="left"/>
      <w:pPr>
        <w:ind w:left="720" w:hanging="360"/>
      </w:pPr>
      <w:rPr>
        <w:rFonts w:ascii="Helvetica-BoldOblique" w:hAnsi="Helvetica-BoldOblique" w:cs="Helvetica-BoldOblique"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69C3345B"/>
    <w:multiLevelType w:val="hybridMultilevel"/>
    <w:tmpl w:val="6F8CAF0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6F486766"/>
    <w:multiLevelType w:val="singleLevel"/>
    <w:tmpl w:val="426ED0C2"/>
    <w:lvl w:ilvl="0">
      <w:start w:val="1"/>
      <w:numFmt w:val="decimal"/>
      <w:lvlText w:val="%1."/>
      <w:lvlJc w:val="left"/>
      <w:pPr>
        <w:tabs>
          <w:tab w:val="num" w:pos="720"/>
        </w:tabs>
        <w:ind w:left="720" w:hanging="720"/>
      </w:pPr>
    </w:lvl>
  </w:abstractNum>
  <w:num w:numId="1" w16cid:durableId="105462037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7727093">
    <w:abstractNumId w:val="2"/>
    <w:lvlOverride w:ilvl="0">
      <w:startOverride w:val="1"/>
    </w:lvlOverride>
  </w:num>
  <w:num w:numId="3" w16cid:durableId="19167456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DF6"/>
    <w:rsid w:val="00012B2A"/>
    <w:rsid w:val="00061AB5"/>
    <w:rsid w:val="000B6FED"/>
    <w:rsid w:val="000C3448"/>
    <w:rsid w:val="000C6083"/>
    <w:rsid w:val="000F37E6"/>
    <w:rsid w:val="00110212"/>
    <w:rsid w:val="001D00AB"/>
    <w:rsid w:val="001F6797"/>
    <w:rsid w:val="00200680"/>
    <w:rsid w:val="002750CE"/>
    <w:rsid w:val="0028490F"/>
    <w:rsid w:val="002B1FCD"/>
    <w:rsid w:val="002D3BBB"/>
    <w:rsid w:val="002F5077"/>
    <w:rsid w:val="00377DCF"/>
    <w:rsid w:val="003A2D18"/>
    <w:rsid w:val="003F0E47"/>
    <w:rsid w:val="003F0F31"/>
    <w:rsid w:val="0040721C"/>
    <w:rsid w:val="00435B61"/>
    <w:rsid w:val="0044236C"/>
    <w:rsid w:val="00454473"/>
    <w:rsid w:val="004827EE"/>
    <w:rsid w:val="004A0354"/>
    <w:rsid w:val="004C5682"/>
    <w:rsid w:val="004E4D91"/>
    <w:rsid w:val="00527E1C"/>
    <w:rsid w:val="005319F9"/>
    <w:rsid w:val="005C7B2F"/>
    <w:rsid w:val="005E5C1A"/>
    <w:rsid w:val="00636062"/>
    <w:rsid w:val="00645CBE"/>
    <w:rsid w:val="0064738E"/>
    <w:rsid w:val="006721AA"/>
    <w:rsid w:val="006D0548"/>
    <w:rsid w:val="00714A81"/>
    <w:rsid w:val="00722C17"/>
    <w:rsid w:val="00740E7B"/>
    <w:rsid w:val="007466C1"/>
    <w:rsid w:val="007B3825"/>
    <w:rsid w:val="007D381A"/>
    <w:rsid w:val="008044A5"/>
    <w:rsid w:val="008267F9"/>
    <w:rsid w:val="008362D5"/>
    <w:rsid w:val="0085650D"/>
    <w:rsid w:val="008E4DF6"/>
    <w:rsid w:val="009B5A38"/>
    <w:rsid w:val="009C7FB4"/>
    <w:rsid w:val="00A325F9"/>
    <w:rsid w:val="00AB3001"/>
    <w:rsid w:val="00AC6C4D"/>
    <w:rsid w:val="00AD1BFD"/>
    <w:rsid w:val="00B032E8"/>
    <w:rsid w:val="00B45C81"/>
    <w:rsid w:val="00B53695"/>
    <w:rsid w:val="00B65D36"/>
    <w:rsid w:val="00B70067"/>
    <w:rsid w:val="00BF78EE"/>
    <w:rsid w:val="00CA7074"/>
    <w:rsid w:val="00CF19F0"/>
    <w:rsid w:val="00D153A1"/>
    <w:rsid w:val="00DB35E5"/>
    <w:rsid w:val="00E31DE6"/>
    <w:rsid w:val="00EB6C12"/>
    <w:rsid w:val="00EC260E"/>
    <w:rsid w:val="00F13EC1"/>
    <w:rsid w:val="00F33221"/>
    <w:rsid w:val="00F442A1"/>
    <w:rsid w:val="00F803A0"/>
    <w:rsid w:val="00FD3851"/>
    <w:rsid w:val="00FF5A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7C1465D"/>
  <w15:docId w15:val="{68742EE4-C2F2-47AC-B942-20D110FC9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4DF6"/>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4D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4DF6"/>
    <w:rPr>
      <w:rFonts w:ascii="Segoe UI" w:hAnsi="Segoe UI" w:cs="Segoe UI"/>
      <w:sz w:val="18"/>
      <w:szCs w:val="18"/>
      <w:lang w:val="en-IN"/>
    </w:rPr>
  </w:style>
  <w:style w:type="paragraph" w:styleId="ListParagraph">
    <w:name w:val="List Paragraph"/>
    <w:basedOn w:val="Normal"/>
    <w:uiPriority w:val="34"/>
    <w:qFormat/>
    <w:rsid w:val="00F442A1"/>
    <w:pPr>
      <w:ind w:left="720"/>
      <w:contextualSpacing/>
    </w:pPr>
  </w:style>
  <w:style w:type="paragraph" w:styleId="Header">
    <w:name w:val="header"/>
    <w:basedOn w:val="Normal"/>
    <w:link w:val="HeaderChar"/>
    <w:uiPriority w:val="99"/>
    <w:unhideWhenUsed/>
    <w:rsid w:val="00F442A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42A1"/>
    <w:rPr>
      <w:lang w:val="en-IN"/>
    </w:rPr>
  </w:style>
  <w:style w:type="paragraph" w:styleId="Footer">
    <w:name w:val="footer"/>
    <w:basedOn w:val="Normal"/>
    <w:link w:val="FooterChar"/>
    <w:uiPriority w:val="99"/>
    <w:unhideWhenUsed/>
    <w:rsid w:val="00F442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42A1"/>
    <w:rPr>
      <w:lang w:val="en-IN"/>
    </w:rPr>
  </w:style>
  <w:style w:type="character" w:styleId="CommentReference">
    <w:name w:val="annotation reference"/>
    <w:basedOn w:val="DefaultParagraphFont"/>
    <w:uiPriority w:val="99"/>
    <w:semiHidden/>
    <w:unhideWhenUsed/>
    <w:rsid w:val="00110212"/>
    <w:rPr>
      <w:sz w:val="16"/>
      <w:szCs w:val="16"/>
    </w:rPr>
  </w:style>
  <w:style w:type="paragraph" w:styleId="CommentText">
    <w:name w:val="annotation text"/>
    <w:basedOn w:val="Normal"/>
    <w:link w:val="CommentTextChar"/>
    <w:uiPriority w:val="99"/>
    <w:unhideWhenUsed/>
    <w:rsid w:val="00110212"/>
    <w:pPr>
      <w:spacing w:line="240" w:lineRule="auto"/>
    </w:pPr>
    <w:rPr>
      <w:sz w:val="20"/>
      <w:szCs w:val="20"/>
    </w:rPr>
  </w:style>
  <w:style w:type="character" w:customStyle="1" w:styleId="CommentTextChar">
    <w:name w:val="Comment Text Char"/>
    <w:basedOn w:val="DefaultParagraphFont"/>
    <w:link w:val="CommentText"/>
    <w:uiPriority w:val="99"/>
    <w:rsid w:val="00110212"/>
    <w:rPr>
      <w:sz w:val="20"/>
      <w:szCs w:val="20"/>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458</Words>
  <Characters>2615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Suzie D'Souza (MSD)</dc:creator>
  <cp:keywords/>
  <dc:description/>
  <cp:lastModifiedBy>Bhagyashree Biwalkar (MSD)</cp:lastModifiedBy>
  <cp:revision>2</cp:revision>
  <dcterms:created xsi:type="dcterms:W3CDTF">2023-06-12T08:22:00Z</dcterms:created>
  <dcterms:modified xsi:type="dcterms:W3CDTF">2023-06-12T08:22:00Z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479928-bf72-407d-92c0-68909117d533_Enabled">
    <vt:lpwstr>true</vt:lpwstr>
  </property>
  <property fmtid="{D5CDD505-2E9C-101B-9397-08002B2CF9AE}" pid="3" name="MSIP_Label_f4479928-bf72-407d-92c0-68909117d533_SetDate">
    <vt:lpwstr>2020-11-24T10:25:01Z</vt:lpwstr>
  </property>
  <property fmtid="{D5CDD505-2E9C-101B-9397-08002B2CF9AE}" pid="4" name="MSIP_Label_f4479928-bf72-407d-92c0-68909117d533_Method">
    <vt:lpwstr>Privileged</vt:lpwstr>
  </property>
  <property fmtid="{D5CDD505-2E9C-101B-9397-08002B2CF9AE}" pid="5" name="MSIP_Label_f4479928-bf72-407d-92c0-68909117d533_Name">
    <vt:lpwstr>f4479928-bf72-407d-92c0-68909117d533</vt:lpwstr>
  </property>
  <property fmtid="{D5CDD505-2E9C-101B-9397-08002B2CF9AE}" pid="6" name="MSIP_Label_f4479928-bf72-407d-92c0-68909117d533_SiteId">
    <vt:lpwstr>fb8ed654-3195-4846-ac37-491dc8a2349e</vt:lpwstr>
  </property>
  <property fmtid="{D5CDD505-2E9C-101B-9397-08002B2CF9AE}" pid="7" name="MSIP_Label_f4479928-bf72-407d-92c0-68909117d533_ActionId">
    <vt:lpwstr>3b9e8c2a-5bf3-4ecf-a632-84199231b144</vt:lpwstr>
  </property>
  <property fmtid="{D5CDD505-2E9C-101B-9397-08002B2CF9AE}" pid="8" name="MSIP_Label_f4479928-bf72-407d-92c0-68909117d533_ContentBits">
    <vt:lpwstr>2</vt:lpwstr>
  </property>
</Properties>
</file>