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15406" w14:textId="0BF3BB91" w:rsidR="006C0CCE" w:rsidRPr="002C4EAE" w:rsidRDefault="004365FB" w:rsidP="004365FB">
      <w:pPr>
        <w:jc w:val="center"/>
        <w:rPr>
          <w:rFonts w:ascii="IBM Plex Sans" w:eastAsia="Times New Roman" w:hAnsi="IBM Plex Sans" w:cs="Times New Roman"/>
          <w:b/>
          <w:sz w:val="20"/>
          <w:szCs w:val="20"/>
        </w:rPr>
      </w:pPr>
      <w:r>
        <w:rPr>
          <w:rFonts w:ascii="IBM Plex Sans" w:eastAsia="Times New Roman" w:hAnsi="IBM Plex Sans" w:cs="Times New Roman"/>
          <w:b/>
          <w:sz w:val="20"/>
          <w:szCs w:val="20"/>
        </w:rPr>
        <w:t>Annexure</w:t>
      </w:r>
      <w:r w:rsidR="006C0CCE" w:rsidRPr="002C4EAE">
        <w:rPr>
          <w:rFonts w:ascii="IBM Plex Sans" w:eastAsia="Times New Roman" w:hAnsi="IBM Plex Sans" w:cs="Times New Roman"/>
          <w:b/>
          <w:sz w:val="20"/>
          <w:szCs w:val="20"/>
        </w:rPr>
        <w:t xml:space="preserve"> </w:t>
      </w:r>
      <w:r w:rsidR="007F61C9">
        <w:rPr>
          <w:rFonts w:ascii="IBM Plex Sans" w:eastAsia="Times New Roman" w:hAnsi="IBM Plex Sans" w:cs="Times New Roman"/>
          <w:b/>
          <w:sz w:val="20"/>
          <w:szCs w:val="20"/>
        </w:rPr>
        <w:t>3</w:t>
      </w:r>
    </w:p>
    <w:p w14:paraId="1DB129F2" w14:textId="77777777" w:rsidR="006C0CCE" w:rsidRPr="002C4EAE" w:rsidRDefault="006C0CCE" w:rsidP="006C0CCE">
      <w:pPr>
        <w:autoSpaceDE w:val="0"/>
        <w:autoSpaceDN w:val="0"/>
        <w:adjustRightInd w:val="0"/>
        <w:jc w:val="center"/>
        <w:rPr>
          <w:rFonts w:ascii="IBM Plex Sans" w:eastAsia="Times New Roman" w:hAnsi="IBM Plex Sans" w:cs="Times New Roman"/>
          <w:b/>
          <w:sz w:val="20"/>
          <w:szCs w:val="20"/>
        </w:rPr>
      </w:pPr>
      <w:r w:rsidRPr="002C4EAE">
        <w:rPr>
          <w:rFonts w:ascii="IBM Plex Sans" w:eastAsia="Times New Roman" w:hAnsi="IBM Plex Sans" w:cs="Times New Roman"/>
          <w:b/>
          <w:sz w:val="20"/>
          <w:szCs w:val="20"/>
        </w:rPr>
        <w:t xml:space="preserve">Auditor’s </w:t>
      </w:r>
      <w:r w:rsidR="007B590E">
        <w:rPr>
          <w:rFonts w:ascii="IBM Plex Sans" w:eastAsia="Times New Roman" w:hAnsi="IBM Plex Sans" w:cs="Times New Roman"/>
          <w:b/>
          <w:sz w:val="20"/>
          <w:szCs w:val="20"/>
        </w:rPr>
        <w:t>Certificate</w:t>
      </w:r>
    </w:p>
    <w:p w14:paraId="30A2F27F" w14:textId="77777777" w:rsidR="006C0CCE" w:rsidRPr="002C4EAE" w:rsidRDefault="006C0CCE" w:rsidP="006C0CCE">
      <w:pPr>
        <w:autoSpaceDE w:val="0"/>
        <w:autoSpaceDN w:val="0"/>
        <w:adjustRightInd w:val="0"/>
        <w:jc w:val="center"/>
        <w:rPr>
          <w:rFonts w:ascii="IBM Plex Sans" w:eastAsia="Times New Roman" w:hAnsi="IBM Plex Sans" w:cs="Times New Roman"/>
          <w:b/>
          <w:sz w:val="20"/>
          <w:szCs w:val="20"/>
        </w:rPr>
      </w:pPr>
      <w:r w:rsidRPr="002C4EAE">
        <w:rPr>
          <w:rFonts w:ascii="IBM Plex Sans" w:eastAsia="Times New Roman" w:hAnsi="IBM Plex Sans" w:cs="Times New Roman"/>
          <w:b/>
          <w:sz w:val="20"/>
          <w:szCs w:val="20"/>
        </w:rPr>
        <w:t>(To be on the letterhead of the system auditor</w:t>
      </w:r>
      <w:r w:rsidR="00930051">
        <w:rPr>
          <w:rFonts w:ascii="IBM Plex Sans" w:eastAsia="Times New Roman" w:hAnsi="IBM Plex Sans" w:cs="Times New Roman"/>
          <w:b/>
          <w:sz w:val="20"/>
          <w:szCs w:val="20"/>
        </w:rPr>
        <w:t>, all pages to be duly stamped and signed</w:t>
      </w:r>
      <w:r w:rsidRPr="002C4EAE">
        <w:rPr>
          <w:rFonts w:ascii="IBM Plex Sans" w:eastAsia="Times New Roman" w:hAnsi="IBM Plex Sans" w:cs="Times New Roman"/>
          <w:b/>
          <w:sz w:val="20"/>
          <w:szCs w:val="20"/>
        </w:rPr>
        <w:t>)</w:t>
      </w:r>
    </w:p>
    <w:tbl>
      <w:tblPr>
        <w:tblStyle w:val="TableGrid"/>
        <w:tblW w:w="98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70"/>
        <w:gridCol w:w="5040"/>
      </w:tblGrid>
      <w:tr w:rsidR="006C0CCE" w:rsidRPr="002C4EAE" w14:paraId="28E6155F" w14:textId="77777777" w:rsidTr="000A0378">
        <w:tc>
          <w:tcPr>
            <w:tcW w:w="4770" w:type="dxa"/>
          </w:tcPr>
          <w:p w14:paraId="763DB3D9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TM</w:t>
            </w:r>
            <w:r w:rsidR="003978F8">
              <w:rPr>
                <w:rFonts w:ascii="IBM Plex Sans" w:hAnsi="IBM Plex Sans"/>
                <w:sz w:val="20"/>
                <w:szCs w:val="20"/>
              </w:rPr>
              <w:t xml:space="preserve"> / EV / ASP</w:t>
            </w:r>
            <w:r w:rsidRPr="002C4EAE">
              <w:rPr>
                <w:rFonts w:ascii="IBM Plex Sans" w:hAnsi="IBM Plex Sans"/>
                <w:sz w:val="20"/>
                <w:szCs w:val="20"/>
              </w:rPr>
              <w:t xml:space="preserve"> Code :</w:t>
            </w:r>
          </w:p>
        </w:tc>
        <w:tc>
          <w:tcPr>
            <w:tcW w:w="5040" w:type="dxa"/>
          </w:tcPr>
          <w:p w14:paraId="38297123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6C0CCE" w:rsidRPr="002C4EAE" w14:paraId="43A93B93" w14:textId="77777777" w:rsidTr="000A0378">
        <w:tc>
          <w:tcPr>
            <w:tcW w:w="4770" w:type="dxa"/>
          </w:tcPr>
          <w:p w14:paraId="1DCEA632" w14:textId="77777777" w:rsidR="006C0CCE" w:rsidRPr="002C4EAE" w:rsidRDefault="003978F8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TM</w:t>
            </w:r>
            <w:r>
              <w:rPr>
                <w:rFonts w:ascii="IBM Plex Sans" w:hAnsi="IBM Plex Sans"/>
                <w:sz w:val="20"/>
                <w:szCs w:val="20"/>
              </w:rPr>
              <w:t xml:space="preserve"> / EV / ASP</w:t>
            </w:r>
            <w:r w:rsidR="006C0CCE" w:rsidRPr="002C4EAE">
              <w:rPr>
                <w:rFonts w:ascii="IBM Plex Sans" w:hAnsi="IBM Plex Sans"/>
                <w:sz w:val="20"/>
                <w:szCs w:val="20"/>
              </w:rPr>
              <w:t xml:space="preserve"> Name :</w:t>
            </w:r>
          </w:p>
        </w:tc>
        <w:tc>
          <w:tcPr>
            <w:tcW w:w="5040" w:type="dxa"/>
          </w:tcPr>
          <w:p w14:paraId="1BCA86FC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6C0CCE" w:rsidRPr="002C4EAE" w14:paraId="7A13F1BF" w14:textId="77777777" w:rsidTr="000A0378">
        <w:tc>
          <w:tcPr>
            <w:tcW w:w="4770" w:type="dxa"/>
          </w:tcPr>
          <w:p w14:paraId="4E5F61ED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Name of the Software:</w:t>
            </w:r>
          </w:p>
        </w:tc>
        <w:tc>
          <w:tcPr>
            <w:tcW w:w="5040" w:type="dxa"/>
          </w:tcPr>
          <w:p w14:paraId="3C3C8DAD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color w:val="A6A6A6" w:themeColor="background1" w:themeShade="A6"/>
                <w:sz w:val="20"/>
                <w:szCs w:val="20"/>
              </w:rPr>
            </w:pPr>
            <w:r w:rsidRPr="002C4EAE">
              <w:rPr>
                <w:rFonts w:ascii="IBM Plex Sans" w:hAnsi="IBM Plex Sans"/>
                <w:color w:val="808080" w:themeColor="background1" w:themeShade="80"/>
                <w:sz w:val="20"/>
                <w:szCs w:val="20"/>
              </w:rPr>
              <w:t>(CTCL/IBT/DMA/STWT/SOR/AT)</w:t>
            </w:r>
          </w:p>
        </w:tc>
      </w:tr>
      <w:tr w:rsidR="006C0CCE" w:rsidRPr="002C4EAE" w14:paraId="70F07452" w14:textId="77777777" w:rsidTr="000A0378">
        <w:tc>
          <w:tcPr>
            <w:tcW w:w="4770" w:type="dxa"/>
          </w:tcPr>
          <w:p w14:paraId="6A2E2CA9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Segment</w:t>
            </w:r>
            <w:r>
              <w:rPr>
                <w:rFonts w:ascii="IBM Plex Sans" w:hAnsi="IBM Plex Sans"/>
                <w:sz w:val="20"/>
                <w:szCs w:val="20"/>
              </w:rPr>
              <w:t>/s</w:t>
            </w:r>
            <w:r w:rsidRPr="002C4EAE">
              <w:rPr>
                <w:rFonts w:ascii="IBM Plex Sans" w:hAnsi="IBM Plex Sans"/>
                <w:sz w:val="20"/>
                <w:szCs w:val="20"/>
              </w:rPr>
              <w:t xml:space="preserve">: </w:t>
            </w:r>
          </w:p>
        </w:tc>
        <w:tc>
          <w:tcPr>
            <w:tcW w:w="5040" w:type="dxa"/>
          </w:tcPr>
          <w:p w14:paraId="08744E67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color w:val="A6A6A6" w:themeColor="background1" w:themeShade="A6"/>
                <w:sz w:val="20"/>
                <w:szCs w:val="20"/>
              </w:rPr>
            </w:pPr>
          </w:p>
        </w:tc>
      </w:tr>
      <w:tr w:rsidR="006C0CCE" w:rsidRPr="002C4EAE" w14:paraId="00E54394" w14:textId="77777777" w:rsidTr="000A0378">
        <w:tc>
          <w:tcPr>
            <w:tcW w:w="4770" w:type="dxa"/>
          </w:tcPr>
          <w:p w14:paraId="53AB62C0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Version No:</w:t>
            </w:r>
          </w:p>
        </w:tc>
        <w:tc>
          <w:tcPr>
            <w:tcW w:w="5040" w:type="dxa"/>
          </w:tcPr>
          <w:p w14:paraId="70F84E6B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6C0CCE" w:rsidRPr="002C4EAE" w14:paraId="13310019" w14:textId="77777777" w:rsidTr="000A0378">
        <w:tc>
          <w:tcPr>
            <w:tcW w:w="4770" w:type="dxa"/>
          </w:tcPr>
          <w:p w14:paraId="765E3D09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Name of the Strategy/</w:t>
            </w:r>
            <w:proofErr w:type="spellStart"/>
            <w:r w:rsidRPr="002C4EAE">
              <w:rPr>
                <w:rFonts w:ascii="IBM Plex Sans" w:hAnsi="IBM Plex Sans"/>
                <w:sz w:val="20"/>
                <w:szCs w:val="20"/>
              </w:rPr>
              <w:t>ies</w:t>
            </w:r>
            <w:proofErr w:type="spellEnd"/>
            <w:r w:rsidRPr="002C4EAE">
              <w:rPr>
                <w:rFonts w:ascii="IBM Plex Sans" w:hAnsi="IBM Plex Sans"/>
                <w:sz w:val="20"/>
                <w:szCs w:val="20"/>
              </w:rPr>
              <w:t xml:space="preserve"> (in case of AT):</w:t>
            </w:r>
          </w:p>
        </w:tc>
        <w:tc>
          <w:tcPr>
            <w:tcW w:w="5040" w:type="dxa"/>
          </w:tcPr>
          <w:p w14:paraId="18586BEC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6C0CCE" w:rsidRPr="002C4EAE" w14:paraId="318087A4" w14:textId="77777777" w:rsidTr="000A0378">
        <w:tc>
          <w:tcPr>
            <w:tcW w:w="4770" w:type="dxa"/>
          </w:tcPr>
          <w:p w14:paraId="59DD7DDF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Exe/Browser/Lite (in case of IBT and STWT):</w:t>
            </w:r>
          </w:p>
        </w:tc>
        <w:tc>
          <w:tcPr>
            <w:tcW w:w="5040" w:type="dxa"/>
          </w:tcPr>
          <w:p w14:paraId="2132B618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6C0CCE" w:rsidRPr="002C4EAE" w14:paraId="10037E44" w14:textId="77777777" w:rsidTr="000A0378">
        <w:tc>
          <w:tcPr>
            <w:tcW w:w="4770" w:type="dxa"/>
          </w:tcPr>
          <w:p w14:paraId="2AE07F03" w14:textId="77777777" w:rsidR="006C0CCE" w:rsidRPr="002C4EAE" w:rsidRDefault="006C0CCE" w:rsidP="000A0378">
            <w:pPr>
              <w:pStyle w:val="ListParagraph"/>
              <w:tabs>
                <w:tab w:val="left" w:pos="1340"/>
              </w:tabs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Software through which SOR shall be provided (in case of SOR):</w:t>
            </w:r>
          </w:p>
        </w:tc>
        <w:tc>
          <w:tcPr>
            <w:tcW w:w="5040" w:type="dxa"/>
          </w:tcPr>
          <w:p w14:paraId="0175672B" w14:textId="77777777"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color w:val="A6A6A6" w:themeColor="background1" w:themeShade="A6"/>
                <w:sz w:val="20"/>
                <w:szCs w:val="20"/>
              </w:rPr>
            </w:pPr>
            <w:r w:rsidRPr="002C4EAE">
              <w:rPr>
                <w:rFonts w:ascii="IBM Plex Sans" w:hAnsi="IBM Plex Sans"/>
                <w:color w:val="808080" w:themeColor="background1" w:themeShade="80"/>
                <w:sz w:val="20"/>
                <w:szCs w:val="20"/>
              </w:rPr>
              <w:t>(CTCL/IBT/DMA/STWT/AT)</w:t>
            </w:r>
          </w:p>
        </w:tc>
      </w:tr>
    </w:tbl>
    <w:p w14:paraId="710FBF88" w14:textId="77777777" w:rsidR="006C0CCE" w:rsidRPr="002C4EAE" w:rsidRDefault="006C0CCE" w:rsidP="006C0CCE">
      <w:pPr>
        <w:pStyle w:val="ListParagraph"/>
        <w:ind w:left="0"/>
        <w:jc w:val="both"/>
        <w:rPr>
          <w:rFonts w:ascii="IBM Plex Sans" w:hAnsi="IBM Plex Sans"/>
          <w:sz w:val="20"/>
          <w:szCs w:val="20"/>
        </w:rPr>
      </w:pPr>
    </w:p>
    <w:p w14:paraId="0433BF08" w14:textId="77777777" w:rsidR="006C0CCE" w:rsidRPr="002C4EAE" w:rsidRDefault="006C0CCE" w:rsidP="006C0CCE">
      <w:pPr>
        <w:pStyle w:val="ListParagraph"/>
        <w:ind w:left="0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This is to certify that the above mentioned software to be used by members for connecting to the stock exchanges and for the purposes of trading and real-time risk management, is in compliance with the various SEBI/Exchange circulars relevant at the time of application, more specifically with respect to the following:</w:t>
      </w:r>
    </w:p>
    <w:p w14:paraId="50344017" w14:textId="77777777" w:rsidR="006C0CCE" w:rsidRPr="002C4EAE" w:rsidRDefault="006C0CCE" w:rsidP="006C0CCE">
      <w:pPr>
        <w:pStyle w:val="ListParagraph"/>
        <w:ind w:left="0"/>
        <w:jc w:val="both"/>
        <w:rPr>
          <w:rFonts w:ascii="IBM Plex Sans" w:hAnsi="IBM Plex Sans"/>
          <w:sz w:val="20"/>
          <w:szCs w:val="20"/>
        </w:rPr>
      </w:pPr>
    </w:p>
    <w:p w14:paraId="7F8B964E" w14:textId="77777777" w:rsidR="006C0CCE" w:rsidRPr="002C4EAE" w:rsidRDefault="006C0CCE" w:rsidP="006C0C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Order Management</w:t>
      </w:r>
    </w:p>
    <w:p w14:paraId="29123A61" w14:textId="77777777" w:rsidR="006C0CCE" w:rsidRPr="002C4EAE" w:rsidRDefault="006C0CCE" w:rsidP="006C0C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 xml:space="preserve">Systems and Network </w:t>
      </w:r>
    </w:p>
    <w:p w14:paraId="3B566172" w14:textId="77777777" w:rsidR="006C0CCE" w:rsidRPr="002C4EAE" w:rsidRDefault="006C0CCE" w:rsidP="006C0C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 xml:space="preserve">Access and Security controls </w:t>
      </w:r>
    </w:p>
    <w:p w14:paraId="7BE533D1" w14:textId="77777777" w:rsidR="006C0CCE" w:rsidRPr="002C4EAE" w:rsidRDefault="006C0CCE" w:rsidP="006C0C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Cyber Security &amp; Cyber Resilience framework</w:t>
      </w:r>
    </w:p>
    <w:p w14:paraId="2301DE3A" w14:textId="77777777" w:rsidR="006C0CCE" w:rsidRDefault="006C0CCE" w:rsidP="001C3A9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Risk checks listed below</w:t>
      </w:r>
    </w:p>
    <w:p w14:paraId="19B70FF2" w14:textId="77777777" w:rsidR="001C3A97" w:rsidRPr="001C3A97" w:rsidRDefault="001C3A97" w:rsidP="001C3A97">
      <w:pPr>
        <w:pStyle w:val="ListParagraph"/>
        <w:spacing w:after="0" w:line="240" w:lineRule="auto"/>
        <w:ind w:left="360"/>
        <w:jc w:val="both"/>
        <w:rPr>
          <w:rFonts w:ascii="IBM Plex Sans" w:hAnsi="IBM Plex Sans"/>
          <w:sz w:val="20"/>
          <w:szCs w:val="20"/>
        </w:rPr>
      </w:pPr>
    </w:p>
    <w:tbl>
      <w:tblPr>
        <w:tblW w:w="10032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720"/>
        <w:gridCol w:w="1841"/>
        <w:gridCol w:w="183"/>
        <w:gridCol w:w="4212"/>
        <w:gridCol w:w="1710"/>
        <w:gridCol w:w="1350"/>
        <w:gridCol w:w="16"/>
      </w:tblGrid>
      <w:tr w:rsidR="006C0CCE" w:rsidRPr="002C4EAE" w14:paraId="0FD6DB0B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B6539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Sr. No.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6F8EC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Pre Trade Risk Control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5EF0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D190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A59E1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Compliance (to be filled by auditor)</w:t>
            </w:r>
          </w:p>
        </w:tc>
      </w:tr>
      <w:tr w:rsidR="006C0CCE" w:rsidRPr="002C4EAE" w14:paraId="03DB27EB" w14:textId="77777777" w:rsidTr="000A0378">
        <w:trPr>
          <w:trHeight w:val="20"/>
        </w:trPr>
        <w:tc>
          <w:tcPr>
            <w:tcW w:w="10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DE15B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At Individual Order Level</w:t>
            </w:r>
          </w:p>
        </w:tc>
      </w:tr>
      <w:tr w:rsidR="006C0CCE" w:rsidRPr="002C4EAE" w14:paraId="24506AA4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71D45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A8AB4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Price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7DC6E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the price bands /dummy filters as defined by the Exchange in respective segments.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034EB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AT/CTCL/IBT/STWT/DMA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ABD63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14B08CE8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7C9BB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CE97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Quantity Limit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C77E2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order quantity limit per order as defined by the Exchange in respective segments.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FEADA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AT/CTCL/IBT/STWT/DMA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16730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12EC36CF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A6C7C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0A079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 Value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90A1D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are not released in breach of the "value per order" (combination of price and quantity checks) as defined by the Exchange for the security in respective segments,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5D14D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AT/CTCL/IBT/STWT/DMA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B5DD9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784649E3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F691C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01CB6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Trade Price Protection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A14CE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the bad trade price for the security in respective segments.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26DC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8A1DD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205A369F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D88EB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A7829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Market Price Protection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0A019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Market orders shall not be released beyond a pre-set percentage of LTP. The limit thus set shall be less than the applicable circuit limits as prescribed above. Members shall ensure that the pre-set percentage of LTP </w:t>
            </w: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lastRenderedPageBreak/>
              <w:t>shall necessarily be accompanied by a limit price that shall form part of the order message at the time of sending to the Exchange.</w:t>
            </w:r>
            <w:r w:rsidRPr="002C4EAE">
              <w:rPr>
                <w:rFonts w:ascii="IBM Plex Sans" w:hAnsi="IBM Plex Sans"/>
                <w:sz w:val="20"/>
                <w:szCs w:val="20"/>
              </w:rPr>
              <w:t xml:space="preserve"> </w:t>
            </w: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Algo orders with order type as Market Order are not permitted in the Commodity Derivatives Segment.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ACBCD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lastRenderedPageBreak/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966D2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2F003C5C" w14:textId="77777777" w:rsidTr="000A0378">
        <w:trPr>
          <w:gridAfter w:val="1"/>
          <w:wAfter w:w="16" w:type="dxa"/>
          <w:trHeight w:val="20"/>
        </w:trPr>
        <w:tc>
          <w:tcPr>
            <w:tcW w:w="10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2B4F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At Client Level</w:t>
            </w:r>
          </w:p>
        </w:tc>
      </w:tr>
      <w:tr w:rsidR="006C0CCE" w:rsidRPr="002C4EAE" w14:paraId="396CC52F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853EA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7FE37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Cumulative Open Order Value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06563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Individual client level cumulative open order value check at the client level. Open order value for a client is the total value of its unexecuted orders released from trading members system. System shall not permit the user to set “Unlimited values”.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E65E7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AT/CTCL/IBT/STWT/DMA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807B7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65FE803B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5D6A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6DF8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Net Position Vs. Available Margin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0A15B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Net positions as against the available margin defined by the trading member for the client.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AE6DE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79F13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47B24DA0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3996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02DC0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RBI Violation Check for FII Restricted stocks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7D4C6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for security restricted by RBI from time to time.</w:t>
            </w:r>
            <w:r w:rsidRPr="002C4EAE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A8858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D7EB1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5C6E18F9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E0BF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CF42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MWPL Violation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608F2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market wide position limit as defined by the Exchange for the security in respective segment.</w:t>
            </w:r>
            <w:r w:rsidRPr="002C4EAE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E9F5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91EC4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1EF333D0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E526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8A5E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Position Limit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00E64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Orders shall not be released in breach of position limit as defined by the trading member for the client.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4EECA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99AC4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2C569ECC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6789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BDCB7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Trading Limit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F52B0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overall trading limits as defined by the trading member for the client.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40D98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A4A07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6009A417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6D10D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EAA81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Exposure Limit Check at individual client level and at overall level for all clients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FD4FB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Orders shall not be released in breach of exposure limit as defined by the trading member for the client.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A6AEA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462A8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53D034BD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F71F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D4843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Security Wise Limit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A10AC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security-wise value limit as defined by the trading member for individual security.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E8A9F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AT/CTCL/IBT/STWT/DMA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8E46D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0AE0468B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41C56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FBBC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Automated Execution</w:t>
            </w: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br/>
              <w:t>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5C18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Algo to account for all executed, unexecuted, and unconfirmed orders placed by the system before releasing further orders. Algo system to have pre-defined parameters for an automatic stoppage in event of Algo execution leading to a loop or a runaway situation.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F0E22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E33A7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14:paraId="62B67FFA" w14:textId="77777777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F0CD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CC0D" w14:textId="77777777"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Efficient Price Discovery and Fair Play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8F7ED" w14:textId="77777777"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The algorithm strategy/</w:t>
            </w:r>
            <w:proofErr w:type="spellStart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ies</w:t>
            </w:r>
            <w:proofErr w:type="spellEnd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 are conducive to efficient price discovery and fair play and shall not take liquidity away from the market (applicable to algorithm strategy/</w:t>
            </w:r>
            <w:proofErr w:type="spellStart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ies</w:t>
            </w:r>
            <w:proofErr w:type="spellEnd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 in the </w:t>
            </w: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lastRenderedPageBreak/>
              <w:t>Commodity Derivative segment).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BF379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lastRenderedPageBreak/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84186" w14:textId="77777777"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</w:tbl>
    <w:p w14:paraId="0E5892E8" w14:textId="77777777" w:rsidR="006C0CCE" w:rsidRPr="002C4EAE" w:rsidRDefault="006C0CCE" w:rsidP="006C0CCE">
      <w:pPr>
        <w:jc w:val="both"/>
        <w:rPr>
          <w:rFonts w:ascii="IBM Plex Sans" w:eastAsia="Times New Roman" w:hAnsi="IBM Plex Sans" w:cs="Times New Roman"/>
          <w:sz w:val="20"/>
          <w:szCs w:val="20"/>
        </w:rPr>
      </w:pPr>
    </w:p>
    <w:p w14:paraId="77089622" w14:textId="77777777" w:rsidR="006C0CCE" w:rsidRPr="002C4EAE" w:rsidRDefault="006C0CCE" w:rsidP="006C0CCE">
      <w:pPr>
        <w:jc w:val="both"/>
        <w:rPr>
          <w:rFonts w:ascii="IBM Plex Sans" w:eastAsia="Times New Roman" w:hAnsi="IBM Plex Sans" w:cs="Times New Roman"/>
          <w:sz w:val="20"/>
          <w:szCs w:val="20"/>
        </w:rPr>
      </w:pPr>
      <w:r w:rsidRPr="002C4EAE">
        <w:rPr>
          <w:rFonts w:ascii="IBM Plex Sans" w:eastAsia="Times New Roman" w:hAnsi="IBM Plex Sans" w:cs="Times New Roman"/>
          <w:sz w:val="20"/>
          <w:szCs w:val="20"/>
        </w:rPr>
        <w:t>The above mentioned software can be deployed in live environment.</w:t>
      </w:r>
    </w:p>
    <w:p w14:paraId="1F749DF9" w14:textId="77777777" w:rsidR="006C0CCE" w:rsidRPr="002C4EAE" w:rsidRDefault="006C0CCE" w:rsidP="006C0CCE">
      <w:pPr>
        <w:jc w:val="both"/>
        <w:rPr>
          <w:rFonts w:ascii="IBM Plex Sans" w:eastAsia="Times New Roman" w:hAnsi="IBM Plex Sans" w:cs="Times New Roman"/>
          <w:sz w:val="20"/>
          <w:szCs w:val="20"/>
        </w:rPr>
      </w:pPr>
      <w:r w:rsidRPr="002C4EAE">
        <w:rPr>
          <w:rFonts w:ascii="IBM Plex Sans" w:eastAsia="Times New Roman" w:hAnsi="IBM Plex Sans" w:cs="Times New Roman"/>
          <w:sz w:val="20"/>
          <w:szCs w:val="20"/>
        </w:rPr>
        <w:t>There is no conflict of interest with respect to the member being audited and our directors / promoters are not directly or indirectly related to the current directors or promoters of the member being audited.</w:t>
      </w:r>
    </w:p>
    <w:p w14:paraId="57DD2A9A" w14:textId="77777777" w:rsidR="006C0CCE" w:rsidRPr="002C4EAE" w:rsidRDefault="006C0CCE" w:rsidP="006C0CCE">
      <w:pPr>
        <w:pStyle w:val="ListParagraph"/>
        <w:ind w:left="0" w:hanging="11"/>
        <w:rPr>
          <w:rFonts w:ascii="IBM Plex Sans" w:hAnsi="IBM Plex Sans"/>
          <w:sz w:val="20"/>
          <w:szCs w:val="20"/>
        </w:rPr>
      </w:pPr>
    </w:p>
    <w:p w14:paraId="5AB84B48" w14:textId="77777777" w:rsidR="006C0CCE" w:rsidRPr="002C4EAE" w:rsidRDefault="006C0CCE" w:rsidP="006C0CCE">
      <w:pPr>
        <w:pStyle w:val="ListParagraph"/>
        <w:ind w:left="0" w:hanging="11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Signature</w:t>
      </w:r>
    </w:p>
    <w:p w14:paraId="6B2CF43A" w14:textId="77777777" w:rsidR="006C0CCE" w:rsidRPr="002C4EAE" w:rsidRDefault="006C0CCE" w:rsidP="006C0CCE">
      <w:pPr>
        <w:pStyle w:val="ListParagraph"/>
        <w:ind w:left="578" w:hanging="360"/>
        <w:rPr>
          <w:rFonts w:ascii="IBM Plex Sans" w:hAnsi="IBM Plex Sans"/>
          <w:sz w:val="20"/>
          <w:szCs w:val="20"/>
        </w:rPr>
      </w:pPr>
    </w:p>
    <w:p w14:paraId="36A24491" w14:textId="77777777"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(Name of the Auditor &amp; Auditing firm)</w:t>
      </w:r>
    </w:p>
    <w:p w14:paraId="0A2D2CF2" w14:textId="77777777"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</w:p>
    <w:p w14:paraId="0221F139" w14:textId="77777777"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CISA / DISA / CISM / CISSP Reg. No:</w:t>
      </w:r>
    </w:p>
    <w:p w14:paraId="6B2FB8C0" w14:textId="77777777"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</w:p>
    <w:p w14:paraId="20CF7B91" w14:textId="77777777"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 xml:space="preserve">Date: </w:t>
      </w:r>
    </w:p>
    <w:p w14:paraId="52C41DC0" w14:textId="77777777"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</w:p>
    <w:p w14:paraId="48B631CE" w14:textId="77777777"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Place:</w:t>
      </w:r>
    </w:p>
    <w:p w14:paraId="10A18AA0" w14:textId="77777777"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</w:p>
    <w:p w14:paraId="204FC6FC" w14:textId="77777777"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Stamp/Seal:</w:t>
      </w:r>
    </w:p>
    <w:p w14:paraId="2F91877E" w14:textId="77777777" w:rsidR="00000000" w:rsidRDefault="00000000"/>
    <w:sectPr w:rsidR="00E01BDF">
      <w:footerReference w:type="even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C1CEE" w14:textId="77777777" w:rsidR="003D19D7" w:rsidRDefault="003D19D7" w:rsidP="007F61C9">
      <w:pPr>
        <w:spacing w:after="0" w:line="240" w:lineRule="auto"/>
      </w:pPr>
      <w:r>
        <w:separator/>
      </w:r>
    </w:p>
  </w:endnote>
  <w:endnote w:type="continuationSeparator" w:id="0">
    <w:p w14:paraId="101E87B6" w14:textId="77777777" w:rsidR="003D19D7" w:rsidRDefault="003D19D7" w:rsidP="007F6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BM Plex Sans">
    <w:altName w:val="Times New Roman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57918" w14:textId="30DB0751" w:rsidR="007F61C9" w:rsidRDefault="007F61C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DB47562" wp14:editId="61EBCA1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650354927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1611E7" w14:textId="47B9C919" w:rsidR="007F61C9" w:rsidRPr="007F61C9" w:rsidRDefault="007F61C9" w:rsidP="007F61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F61C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B4756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761611E7" w14:textId="47B9C919" w:rsidR="007F61C9" w:rsidRPr="007F61C9" w:rsidRDefault="007F61C9" w:rsidP="007F61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F61C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9A361" w14:textId="1A4079D8" w:rsidR="007F61C9" w:rsidRDefault="007F61C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68F2631" wp14:editId="37ACB1F6">
              <wp:simplePos x="914400" y="94297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490694977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2A12E2" w14:textId="0A232925" w:rsidR="007F61C9" w:rsidRPr="007F61C9" w:rsidRDefault="007F61C9" w:rsidP="007F61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F61C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8F263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152A12E2" w14:textId="0A232925" w:rsidR="007F61C9" w:rsidRPr="007F61C9" w:rsidRDefault="007F61C9" w:rsidP="007F61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F61C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DEEB" w14:textId="2B35801C" w:rsidR="007F61C9" w:rsidRDefault="007F61C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E807B27" wp14:editId="56EA56A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89424096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78D20A" w14:textId="561E881F" w:rsidR="007F61C9" w:rsidRPr="007F61C9" w:rsidRDefault="007F61C9" w:rsidP="007F61C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F61C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807B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2078D20A" w14:textId="561E881F" w:rsidR="007F61C9" w:rsidRPr="007F61C9" w:rsidRDefault="007F61C9" w:rsidP="007F61C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F61C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5FE48" w14:textId="77777777" w:rsidR="003D19D7" w:rsidRDefault="003D19D7" w:rsidP="007F61C9">
      <w:pPr>
        <w:spacing w:after="0" w:line="240" w:lineRule="auto"/>
      </w:pPr>
      <w:r>
        <w:separator/>
      </w:r>
    </w:p>
  </w:footnote>
  <w:footnote w:type="continuationSeparator" w:id="0">
    <w:p w14:paraId="506FBBFB" w14:textId="77777777" w:rsidR="003D19D7" w:rsidRDefault="003D19D7" w:rsidP="007F6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D57571"/>
    <w:multiLevelType w:val="hybridMultilevel"/>
    <w:tmpl w:val="5DF63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78340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CE"/>
    <w:rsid w:val="001C3A97"/>
    <w:rsid w:val="003978F8"/>
    <w:rsid w:val="003D19D7"/>
    <w:rsid w:val="004365FB"/>
    <w:rsid w:val="006C0CCE"/>
    <w:rsid w:val="007B590E"/>
    <w:rsid w:val="007F61C9"/>
    <w:rsid w:val="00930051"/>
    <w:rsid w:val="00A325F9"/>
    <w:rsid w:val="00B7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30210"/>
  <w15:docId w15:val="{D29D8A5E-0BA4-4765-97A5-C42EB4A6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CCE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CCE"/>
    <w:pPr>
      <w:spacing w:after="0" w:line="240" w:lineRule="auto"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C0CC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C0CCE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CCE"/>
    <w:rPr>
      <w:rFonts w:ascii="Segoe UI" w:hAnsi="Segoe UI" w:cs="Segoe UI"/>
      <w:sz w:val="18"/>
      <w:szCs w:val="18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7F6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1C9"/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D'Souza (MSD)</dc:creator>
  <cp:keywords/>
  <dc:description/>
  <cp:lastModifiedBy>Bhagyashree Biwalkar (MSD)</cp:lastModifiedBy>
  <cp:revision>7</cp:revision>
  <dcterms:created xsi:type="dcterms:W3CDTF">2019-06-16T12:51:00Z</dcterms:created>
  <dcterms:modified xsi:type="dcterms:W3CDTF">2024-04-22T08:01:00Z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55480e0,625e6aef,1d3f6941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2024-04-22T08:01:41Z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683fff3a-f085-4013-ac97-2f9f8aaa3556</vt:lpwstr>
  </property>
  <property fmtid="{D5CDD505-2E9C-101B-9397-08002B2CF9AE}" pid="11" name="MSIP_Label_305f50f5-e953-4c63-867b-388561f41989_ContentBits">
    <vt:lpwstr>2</vt:lpwstr>
  </property>
</Properties>
</file>