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B191" w14:textId="77777777" w:rsidR="00C35596" w:rsidRPr="00F54202" w:rsidRDefault="00C35596" w:rsidP="00C35596">
      <w:pPr>
        <w:overflowPunct w:val="0"/>
        <w:spacing w:after="0" w:line="240" w:lineRule="auto"/>
        <w:jc w:val="center"/>
        <w:rPr>
          <w:rFonts w:ascii="IBM Plex Sans" w:eastAsia="Times New Roman" w:hAnsi="IBM Plex Sans" w:cs="Times New Roman"/>
          <w:sz w:val="20"/>
          <w:szCs w:val="20"/>
          <w:lang w:val="en-US"/>
        </w:rPr>
      </w:pPr>
      <w:bookmarkStart w:id="0" w:name="Annexure_XIV"/>
      <w:r w:rsidRPr="00F54202">
        <w:rPr>
          <w:rFonts w:ascii="IBM Plex Sans" w:eastAsia="Times New Roman" w:hAnsi="IBM Plex Sans" w:cs="Times New Roman"/>
          <w:b/>
          <w:sz w:val="20"/>
          <w:szCs w:val="20"/>
          <w:lang w:val="en-US"/>
        </w:rPr>
        <w:t xml:space="preserve">Annexure– </w:t>
      </w:r>
      <w:r>
        <w:rPr>
          <w:rFonts w:ascii="IBM Plex Sans" w:eastAsia="Times New Roman" w:hAnsi="IBM Plex Sans" w:cs="Times New Roman"/>
          <w:b/>
          <w:sz w:val="20"/>
          <w:szCs w:val="20"/>
          <w:lang w:val="en-US"/>
        </w:rPr>
        <w:t>XIV</w:t>
      </w:r>
    </w:p>
    <w:bookmarkEnd w:id="0"/>
    <w:p w14:paraId="7362C21E" w14:textId="77777777" w:rsidR="00C35596" w:rsidRPr="00F54202" w:rsidRDefault="00C35596" w:rsidP="00C35596">
      <w:pPr>
        <w:overflowPunct w:val="0"/>
        <w:spacing w:after="0" w:line="240" w:lineRule="auto"/>
        <w:jc w:val="center"/>
        <w:rPr>
          <w:rFonts w:ascii="IBM Plex Sans" w:eastAsia="Times New Roman" w:hAnsi="IBM Plex Sans" w:cs="Times New Roman"/>
          <w:sz w:val="20"/>
          <w:szCs w:val="20"/>
          <w:lang w:val="en-US"/>
        </w:rPr>
      </w:pPr>
    </w:p>
    <w:p w14:paraId="2EBDECD0" w14:textId="77777777" w:rsidR="00C35596" w:rsidRPr="00F54202" w:rsidRDefault="00C35596" w:rsidP="00C35596">
      <w:pPr>
        <w:spacing w:after="0" w:line="240" w:lineRule="auto"/>
        <w:jc w:val="center"/>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t>UNDERTAKING FOR AVAILING SMART ORDER ROUTING FACILITY</w:t>
      </w:r>
    </w:p>
    <w:p w14:paraId="4732C167" w14:textId="77777777" w:rsidR="00C35596" w:rsidRPr="00F54202" w:rsidRDefault="00C35596" w:rsidP="00C35596">
      <w:pPr>
        <w:spacing w:after="0" w:line="240" w:lineRule="auto"/>
        <w:jc w:val="both"/>
        <w:rPr>
          <w:rFonts w:ascii="IBM Plex Sans" w:eastAsia="Times New Roman" w:hAnsi="IBM Plex Sans" w:cs="Times New Roman"/>
          <w:b/>
          <w:sz w:val="20"/>
          <w:szCs w:val="20"/>
          <w:lang w:val="en-US"/>
        </w:rPr>
      </w:pPr>
    </w:p>
    <w:p w14:paraId="01325E18"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I / We ______________________________________, an individual / a firm registered under the Indian Partnership Act, 1932 / a Company / body corporate incorporated under the Companies Act of 1956 /________________________ Act, 19__, and residing at / having our registered office at _________________________________________ ______________________________ give this UNDERTAKING on this the _____ day of ___________ 20    at _____________ IN FAVOUR of National Stock Exchange of India Limited, a company incorporated under the Companies Act of 1956, with its registered office at "Exchange Plaza", Bandra - Kurla Complex, Bandra (E), Mumbai - 400 051(hereinafter called "NSEIL")</w:t>
      </w:r>
    </w:p>
    <w:p w14:paraId="045071C0"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1D287A9E"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t>WHEREAS</w:t>
      </w:r>
    </w:p>
    <w:p w14:paraId="34F4B049"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2A1BB381" w14:textId="77777777" w:rsidR="00C35596" w:rsidRPr="00F54202" w:rsidRDefault="00C35596" w:rsidP="00C35596">
      <w:pPr>
        <w:autoSpaceDE w:val="0"/>
        <w:autoSpaceDN w:val="0"/>
        <w:adjustRightInd w:val="0"/>
        <w:spacing w:after="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NSEIL, has prescribed the SMART ORDER ROUTING FACILITY which allows the trading member’s trading engines to systematically choose the best execution destination based on factors viz. price, costs, speed, likelihood of execution and settlement, size, </w:t>
      </w:r>
      <w:proofErr w:type="gramStart"/>
      <w:r w:rsidRPr="00F54202">
        <w:rPr>
          <w:rFonts w:ascii="IBM Plex Sans" w:eastAsia="Times New Roman" w:hAnsi="IBM Plex Sans" w:cs="Times New Roman"/>
          <w:sz w:val="20"/>
          <w:szCs w:val="20"/>
          <w:lang w:val="en-US"/>
        </w:rPr>
        <w:t>nature</w:t>
      </w:r>
      <w:proofErr w:type="gramEnd"/>
      <w:r w:rsidRPr="00F54202">
        <w:rPr>
          <w:rFonts w:ascii="IBM Plex Sans" w:eastAsia="Times New Roman" w:hAnsi="IBM Plex Sans" w:cs="Times New Roman"/>
          <w:sz w:val="20"/>
          <w:szCs w:val="20"/>
          <w:lang w:val="en-US"/>
        </w:rPr>
        <w:t xml:space="preserve"> or any other consideration relevant to the execution of the order as may be approved by NSEIL from time to time.</w:t>
      </w:r>
    </w:p>
    <w:p w14:paraId="03C228EE"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AA8F21D" w14:textId="77777777" w:rsidR="00C35596" w:rsidRPr="00F54202" w:rsidRDefault="00C35596" w:rsidP="00C35596">
      <w:pPr>
        <w:autoSpaceDE w:val="0"/>
        <w:autoSpaceDN w:val="0"/>
        <w:adjustRightInd w:val="0"/>
        <w:spacing w:after="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NOW THEREFORE IN CONSIDERATION OF my / our application to NSEIL for approval for availing the SMART ORDER ROUTING FACILITY. I / We hereby IRREVOCABLY AND UNCONDITIONALLY UNDERTAKE and agree to abide by and be bound by the following terms and conditions: -</w:t>
      </w:r>
    </w:p>
    <w:p w14:paraId="4E5D14D8"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3F57D94"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The SMART ORDER ROUTING shall route orders in a neutral manner.</w:t>
      </w:r>
    </w:p>
    <w:p w14:paraId="5BDF922C"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execute Member Client agreement which will clearly prescribe the features of SMART ORDER ROUTING facility and the </w:t>
      </w:r>
      <w:r w:rsidRPr="00F54202">
        <w:rPr>
          <w:rFonts w:ascii="IBM Plex Sans" w:eastAsia="Times New Roman" w:hAnsi="IBM Plex Sans" w:cs="Times New Roman"/>
          <w:sz w:val="20"/>
          <w:szCs w:val="20"/>
          <w:lang w:eastAsia="en-IN"/>
        </w:rPr>
        <w:t xml:space="preserve">possible risks, rights, </w:t>
      </w:r>
      <w:proofErr w:type="gramStart"/>
      <w:r w:rsidRPr="00F54202">
        <w:rPr>
          <w:rFonts w:ascii="IBM Plex Sans" w:eastAsia="Times New Roman" w:hAnsi="IBM Plex Sans" w:cs="Times New Roman"/>
          <w:sz w:val="20"/>
          <w:szCs w:val="20"/>
          <w:lang w:eastAsia="en-IN"/>
        </w:rPr>
        <w:t>responsibilities</w:t>
      </w:r>
      <w:proofErr w:type="gramEnd"/>
      <w:r w:rsidRPr="00F54202">
        <w:rPr>
          <w:rFonts w:ascii="IBM Plex Sans" w:eastAsia="Times New Roman" w:hAnsi="IBM Plex Sans" w:cs="Times New Roman"/>
          <w:sz w:val="20"/>
          <w:szCs w:val="20"/>
          <w:lang w:eastAsia="en-IN"/>
        </w:rPr>
        <w:t xml:space="preserve"> and liabilities </w:t>
      </w:r>
      <w:r w:rsidRPr="00F54202">
        <w:rPr>
          <w:rFonts w:ascii="IBM Plex Sans" w:eastAsia="Times New Roman" w:hAnsi="IBM Plex Sans" w:cs="Times New Roman"/>
          <w:sz w:val="20"/>
          <w:szCs w:val="20"/>
          <w:lang w:val="en-US"/>
        </w:rPr>
        <w:t>associated with SMART ORDER ROUTING Facility.</w:t>
      </w:r>
    </w:p>
    <w:p w14:paraId="2AF7820B"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shall formulate best execution policy and communicate the same to my clients.</w:t>
      </w:r>
    </w:p>
    <w:p w14:paraId="7444B496"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shall notify to my / our clients if any material changes are made in best execution policy. Such Changes shall be preceded by a notice of 15 days.</w:t>
      </w:r>
    </w:p>
    <w:p w14:paraId="0AD0E178"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ensure that our best execution policy </w:t>
      </w:r>
      <w:proofErr w:type="gramStart"/>
      <w:r w:rsidRPr="00F54202">
        <w:rPr>
          <w:rFonts w:ascii="IBM Plex Sans" w:eastAsia="Times New Roman" w:hAnsi="IBM Plex Sans" w:cs="Times New Roman"/>
          <w:sz w:val="20"/>
          <w:szCs w:val="20"/>
          <w:lang w:val="en-US"/>
        </w:rPr>
        <w:t>at all times</w:t>
      </w:r>
      <w:proofErr w:type="gramEnd"/>
      <w:r w:rsidRPr="00F54202">
        <w:rPr>
          <w:rFonts w:ascii="IBM Plex Sans" w:eastAsia="Times New Roman" w:hAnsi="IBM Plex Sans" w:cs="Times New Roman"/>
          <w:sz w:val="20"/>
          <w:szCs w:val="20"/>
          <w:lang w:val="en-US"/>
        </w:rPr>
        <w:t xml:space="preserve"> shall be in compliance with best execution guidelines prescribed by the Exchange / SEBI from time to time.</w:t>
      </w:r>
    </w:p>
    <w:p w14:paraId="0A667F8E"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shall carry out changes to the SMART ORDER ROUTING software only after getting a specific prior approval of the NSEIL in this regard.</w:t>
      </w:r>
    </w:p>
    <w:p w14:paraId="19381E97"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ensure that all orders pertaining to SMART ORDER ROUTING facility would only be routed through the platform of respective recognized stock exchanges. I / We shall ensure that all orders </w:t>
      </w:r>
      <w:proofErr w:type="gramStart"/>
      <w:r w:rsidRPr="00F54202">
        <w:rPr>
          <w:rFonts w:ascii="IBM Plex Sans" w:eastAsia="Times New Roman" w:hAnsi="IBM Plex Sans" w:cs="Times New Roman"/>
          <w:sz w:val="20"/>
          <w:szCs w:val="20"/>
          <w:lang w:val="en-US"/>
        </w:rPr>
        <w:t>entered into</w:t>
      </w:r>
      <w:proofErr w:type="gramEnd"/>
      <w:r w:rsidRPr="00F54202">
        <w:rPr>
          <w:rFonts w:ascii="IBM Plex Sans" w:eastAsia="Times New Roman" w:hAnsi="IBM Plex Sans" w:cs="Times New Roman"/>
          <w:sz w:val="20"/>
          <w:szCs w:val="20"/>
          <w:lang w:val="en-US"/>
        </w:rPr>
        <w:t xml:space="preserve"> the SMART ORDER routing system are offered to the market for matching and no cross trades are generated.</w:t>
      </w:r>
    </w:p>
    <w:p w14:paraId="18FA3C95"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maintain logs of all the activities to facilitate audit trail and shall also maintain records of orders, </w:t>
      </w:r>
      <w:proofErr w:type="gramStart"/>
      <w:r w:rsidRPr="00F54202">
        <w:rPr>
          <w:rFonts w:ascii="IBM Plex Sans" w:eastAsia="Times New Roman" w:hAnsi="IBM Plex Sans" w:cs="Times New Roman"/>
          <w:sz w:val="20"/>
          <w:szCs w:val="20"/>
          <w:lang w:val="en-US"/>
        </w:rPr>
        <w:t>trades</w:t>
      </w:r>
      <w:proofErr w:type="gramEnd"/>
      <w:r w:rsidRPr="00F54202">
        <w:rPr>
          <w:rFonts w:ascii="IBM Plex Sans" w:eastAsia="Times New Roman" w:hAnsi="IBM Plex Sans" w:cs="Times New Roman"/>
          <w:sz w:val="20"/>
          <w:szCs w:val="20"/>
          <w:lang w:val="en-US"/>
        </w:rPr>
        <w:t xml:space="preserve"> and data points for the basis of decision.</w:t>
      </w:r>
    </w:p>
    <w:p w14:paraId="52F2DCAC"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In case wherein client does not want to use SMART ORDER ROUTING facility for a particular order, the same shall be well documented by me / us.</w:t>
      </w:r>
    </w:p>
    <w:p w14:paraId="4A088355"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shall carry out periodic system audit of the SMART ORDER ROUTING facility as may be specified by the Exchange from time to time and a Certificate in this regard shall be submitted to the Exchange.</w:t>
      </w:r>
    </w:p>
    <w:p w14:paraId="43A32D58"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shall carry out appropriate validation of all risk parameters before the orders are placed in the SMART ORDER ROUTING system.</w:t>
      </w:r>
    </w:p>
    <w:p w14:paraId="660F5E29"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ensure that alternative mode of trading system is available in case of failure of SMART ORDER ROUTING </w:t>
      </w:r>
      <w:proofErr w:type="gramStart"/>
      <w:r w:rsidRPr="00F54202">
        <w:rPr>
          <w:rFonts w:ascii="IBM Plex Sans" w:eastAsia="Times New Roman" w:hAnsi="IBM Plex Sans" w:cs="Times New Roman"/>
          <w:sz w:val="20"/>
          <w:szCs w:val="20"/>
          <w:lang w:val="en-US"/>
        </w:rPr>
        <w:t>facility</w:t>
      </w:r>
      <w:proofErr w:type="gramEnd"/>
      <w:r w:rsidRPr="00F54202">
        <w:rPr>
          <w:rFonts w:ascii="IBM Plex Sans" w:eastAsia="Times New Roman" w:hAnsi="IBM Plex Sans" w:cs="Times New Roman"/>
          <w:sz w:val="20"/>
          <w:szCs w:val="20"/>
          <w:lang w:val="en-US"/>
        </w:rPr>
        <w:t xml:space="preserve"> and I / We agree to bring the same to the notice of client.</w:t>
      </w:r>
    </w:p>
    <w:p w14:paraId="769C38E3"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ensure that the server which is routing orders placed through SMART ORDER ROUTING system to the exchange trading system </w:t>
      </w:r>
      <w:proofErr w:type="gramStart"/>
      <w:r w:rsidRPr="00F54202">
        <w:rPr>
          <w:rFonts w:ascii="IBM Plex Sans" w:eastAsia="Times New Roman" w:hAnsi="IBM Plex Sans" w:cs="Times New Roman"/>
          <w:sz w:val="20"/>
          <w:szCs w:val="20"/>
          <w:lang w:val="en-US"/>
        </w:rPr>
        <w:t>is located in</w:t>
      </w:r>
      <w:proofErr w:type="gramEnd"/>
      <w:r w:rsidRPr="00F54202">
        <w:rPr>
          <w:rFonts w:ascii="IBM Plex Sans" w:eastAsia="Times New Roman" w:hAnsi="IBM Plex Sans" w:cs="Times New Roman"/>
          <w:sz w:val="20"/>
          <w:szCs w:val="20"/>
          <w:lang w:val="en-US"/>
        </w:rPr>
        <w:t xml:space="preserve"> India.</w:t>
      </w:r>
    </w:p>
    <w:p w14:paraId="623F4F2E"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lastRenderedPageBreak/>
        <w:t xml:space="preserve">That I / We shall co-operate with the Exchange to resolve Investor grievance if any, received </w:t>
      </w:r>
      <w:proofErr w:type="gramStart"/>
      <w:r w:rsidRPr="00F54202">
        <w:rPr>
          <w:rFonts w:ascii="IBM Plex Sans" w:eastAsia="Times New Roman" w:hAnsi="IBM Plex Sans" w:cs="Times New Roman"/>
          <w:sz w:val="20"/>
          <w:szCs w:val="20"/>
          <w:lang w:val="en-US"/>
        </w:rPr>
        <w:t>with regard to</w:t>
      </w:r>
      <w:proofErr w:type="gramEnd"/>
      <w:r w:rsidRPr="00F54202">
        <w:rPr>
          <w:rFonts w:ascii="IBM Plex Sans" w:eastAsia="Times New Roman" w:hAnsi="IBM Plex Sans" w:cs="Times New Roman"/>
          <w:sz w:val="20"/>
          <w:szCs w:val="20"/>
          <w:lang w:val="en-US"/>
        </w:rPr>
        <w:t xml:space="preserve"> SMART ORDER ROUTING. Further, in case of any disputes or complaints, I / We shall share necessary data as and when required </w:t>
      </w:r>
      <w:proofErr w:type="gramStart"/>
      <w:r w:rsidRPr="00F54202">
        <w:rPr>
          <w:rFonts w:ascii="IBM Plex Sans" w:eastAsia="Times New Roman" w:hAnsi="IBM Plex Sans" w:cs="Times New Roman"/>
          <w:sz w:val="20"/>
          <w:szCs w:val="20"/>
          <w:lang w:val="en-US"/>
        </w:rPr>
        <w:t>in order to</w:t>
      </w:r>
      <w:proofErr w:type="gramEnd"/>
      <w:r w:rsidRPr="00F54202">
        <w:rPr>
          <w:rFonts w:ascii="IBM Plex Sans" w:eastAsia="Times New Roman" w:hAnsi="IBM Plex Sans" w:cs="Times New Roman"/>
          <w:sz w:val="20"/>
          <w:szCs w:val="20"/>
          <w:lang w:val="en-US"/>
        </w:rPr>
        <w:t xml:space="preserve"> facilitate necessary examination.</w:t>
      </w:r>
    </w:p>
    <w:p w14:paraId="31CD7526"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agree that NSEIL decision with respect to SMART ORDER Routing facility will be binding on me / us and I / We hereby agree not to dispute the same.</w:t>
      </w:r>
    </w:p>
    <w:p w14:paraId="3213F9B0"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That I / We agree that NSEIL approval with respect to SMART ORDER Routing system shall be specific with respect to recognized Stock Exchange(s) and I / We hereby agree that in case of any addition of recognized Stock Exchange(s) I / We shall be required to get a separate specific approval.</w:t>
      </w:r>
    </w:p>
    <w:p w14:paraId="435EA855" w14:textId="77777777" w:rsidR="00C35596" w:rsidRPr="00F54202" w:rsidRDefault="00C35596" w:rsidP="00C35596">
      <w:pPr>
        <w:numPr>
          <w:ilvl w:val="0"/>
          <w:numId w:val="2"/>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That I / We shall abide by all other obligations which are applicable to me / us as per rules, regulations, </w:t>
      </w:r>
      <w:proofErr w:type="gramStart"/>
      <w:r w:rsidRPr="00F54202">
        <w:rPr>
          <w:rFonts w:ascii="IBM Plex Sans" w:eastAsia="Times New Roman" w:hAnsi="IBM Plex Sans" w:cs="Times New Roman"/>
          <w:sz w:val="20"/>
          <w:szCs w:val="20"/>
          <w:lang w:val="en-US"/>
        </w:rPr>
        <w:t>guidelines</w:t>
      </w:r>
      <w:proofErr w:type="gramEnd"/>
      <w:r w:rsidRPr="00F54202">
        <w:rPr>
          <w:rFonts w:ascii="IBM Plex Sans" w:eastAsia="Times New Roman" w:hAnsi="IBM Plex Sans" w:cs="Times New Roman"/>
          <w:sz w:val="20"/>
          <w:szCs w:val="20"/>
          <w:lang w:val="en-US"/>
        </w:rPr>
        <w:t xml:space="preserve"> and circulars in force from time to time.</w:t>
      </w:r>
    </w:p>
    <w:p w14:paraId="216CA517" w14:textId="77777777" w:rsidR="00C35596" w:rsidRPr="00F54202" w:rsidRDefault="00C35596" w:rsidP="00C35596">
      <w:pPr>
        <w:autoSpaceDE w:val="0"/>
        <w:autoSpaceDN w:val="0"/>
        <w:adjustRightInd w:val="0"/>
        <w:spacing w:after="0" w:line="240" w:lineRule="auto"/>
        <w:ind w:left="720"/>
        <w:jc w:val="both"/>
        <w:rPr>
          <w:rFonts w:ascii="IBM Plex Sans" w:eastAsia="Times New Roman" w:hAnsi="IBM Plex Sans" w:cs="Times New Roman"/>
          <w:sz w:val="20"/>
          <w:szCs w:val="20"/>
          <w:lang w:val="en-US"/>
        </w:rPr>
      </w:pPr>
    </w:p>
    <w:p w14:paraId="60061F85"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b/>
          <w:sz w:val="20"/>
          <w:szCs w:val="20"/>
          <w:lang w:val="en-US"/>
        </w:rPr>
        <w:t>IN WITNESS WHEREOF</w:t>
      </w:r>
      <w:r w:rsidRPr="00F54202">
        <w:rPr>
          <w:rFonts w:ascii="IBM Plex Sans" w:eastAsia="Times New Roman" w:hAnsi="IBM Plex Sans" w:cs="Times New Roman"/>
          <w:sz w:val="20"/>
          <w:szCs w:val="20"/>
          <w:lang w:val="en-US"/>
        </w:rPr>
        <w:t xml:space="preserve"> this Undertaking is executed by the undersigned on the day, month, </w:t>
      </w:r>
      <w:proofErr w:type="gramStart"/>
      <w:r w:rsidRPr="00F54202">
        <w:rPr>
          <w:rFonts w:ascii="IBM Plex Sans" w:eastAsia="Times New Roman" w:hAnsi="IBM Plex Sans" w:cs="Times New Roman"/>
          <w:sz w:val="20"/>
          <w:szCs w:val="20"/>
          <w:lang w:val="en-US"/>
        </w:rPr>
        <w:t>year</w:t>
      </w:r>
      <w:proofErr w:type="gramEnd"/>
      <w:r w:rsidRPr="00F54202">
        <w:rPr>
          <w:rFonts w:ascii="IBM Plex Sans" w:eastAsia="Times New Roman" w:hAnsi="IBM Plex Sans" w:cs="Times New Roman"/>
          <w:sz w:val="20"/>
          <w:szCs w:val="20"/>
          <w:lang w:val="en-US"/>
        </w:rPr>
        <w:t xml:space="preserve"> and the place first mentioned above.</w:t>
      </w:r>
    </w:p>
    <w:p w14:paraId="65F42C0C"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34AB66D"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Signed by, for and on behalf of: </w:t>
      </w:r>
    </w:p>
    <w:p w14:paraId="44456D48"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367E3C66"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Before: </w:t>
      </w:r>
    </w:p>
    <w:p w14:paraId="23DFD558" w14:textId="77777777" w:rsidR="00C35596" w:rsidRPr="00F54202" w:rsidRDefault="00C35596" w:rsidP="00C35596">
      <w:pPr>
        <w:spacing w:after="0" w:line="240" w:lineRule="auto"/>
        <w:jc w:val="both"/>
        <w:rPr>
          <w:rFonts w:ascii="IBM Plex Sans" w:eastAsia="Times New Roman" w:hAnsi="IBM Plex Sans" w:cs="Times New Roman"/>
          <w:sz w:val="20"/>
          <w:szCs w:val="20"/>
          <w:lang w:val="en-US"/>
        </w:rPr>
      </w:pPr>
    </w:p>
    <w:p w14:paraId="5D0864F6" w14:textId="77777777" w:rsidR="00C35596" w:rsidRPr="00F54202" w:rsidRDefault="00C35596" w:rsidP="00C35596">
      <w:pPr>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br w:type="page"/>
      </w:r>
    </w:p>
    <w:p w14:paraId="261622F6" w14:textId="77777777" w:rsidR="00C35596" w:rsidRPr="00F54202" w:rsidRDefault="00C35596" w:rsidP="00C35596">
      <w:pPr>
        <w:spacing w:after="0" w:line="240" w:lineRule="auto"/>
        <w:jc w:val="both"/>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lastRenderedPageBreak/>
        <w:t>ANNEXURE – INSTRUCTIONS FOR UNDERTAKING</w:t>
      </w:r>
    </w:p>
    <w:p w14:paraId="3A47F8EE" w14:textId="77777777" w:rsidR="00C35596" w:rsidRPr="00F54202" w:rsidRDefault="00C35596" w:rsidP="00C35596">
      <w:pPr>
        <w:spacing w:after="0" w:line="240" w:lineRule="auto"/>
        <w:jc w:val="both"/>
        <w:rPr>
          <w:rFonts w:ascii="IBM Plex Sans" w:eastAsia="Times New Roman" w:hAnsi="IBM Plex Sans" w:cs="Times New Roman"/>
          <w:b/>
          <w:sz w:val="20"/>
          <w:szCs w:val="20"/>
          <w:lang w:val="en-US"/>
        </w:rPr>
      </w:pPr>
    </w:p>
    <w:p w14:paraId="762599D3" w14:textId="77777777" w:rsidR="00C35596" w:rsidRPr="00F54202" w:rsidRDefault="00C35596" w:rsidP="00C35596">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The Undertaking is to be executed on a non-judicial stamp paper worth Rs.600/- if executed in State of Maharashtra. If this Undertaking is executed outside the State of Maharashtra, then it must be executed on a non-judicial stamp paper stamped in accordance </w:t>
      </w:r>
      <w:proofErr w:type="gramStart"/>
      <w:r w:rsidRPr="00F54202">
        <w:rPr>
          <w:rFonts w:ascii="IBM Plex Sans" w:eastAsia="Times New Roman" w:hAnsi="IBM Plex Sans" w:cs="Times New Roman"/>
          <w:sz w:val="20"/>
          <w:szCs w:val="20"/>
          <w:lang w:val="en-US"/>
        </w:rPr>
        <w:t>to</w:t>
      </w:r>
      <w:proofErr w:type="gramEnd"/>
      <w:r w:rsidRPr="00F54202">
        <w:rPr>
          <w:rFonts w:ascii="IBM Plex Sans" w:eastAsia="Times New Roman" w:hAnsi="IBM Plex Sans" w:cs="Times New Roman"/>
          <w:sz w:val="20"/>
          <w:szCs w:val="20"/>
          <w:lang w:val="en-US"/>
        </w:rPr>
        <w:t xml:space="preserve"> the duty as payable in the place of execution or on a non-judicial stamp paper worth Rs.600/- whichever is higher. </w:t>
      </w:r>
    </w:p>
    <w:p w14:paraId="1B8B2BEA" w14:textId="77777777" w:rsidR="00C35596" w:rsidRPr="00F54202" w:rsidRDefault="00C35596" w:rsidP="00C35596">
      <w:pPr>
        <w:autoSpaceDE w:val="0"/>
        <w:autoSpaceDN w:val="0"/>
        <w:adjustRightInd w:val="0"/>
        <w:spacing w:after="0" w:line="240" w:lineRule="auto"/>
        <w:ind w:left="720"/>
        <w:jc w:val="both"/>
        <w:rPr>
          <w:rFonts w:ascii="IBM Plex Sans" w:eastAsia="Times New Roman" w:hAnsi="IBM Plex Sans" w:cs="Times New Roman"/>
          <w:sz w:val="20"/>
          <w:szCs w:val="20"/>
          <w:lang w:val="en-US"/>
        </w:rPr>
      </w:pPr>
    </w:p>
    <w:p w14:paraId="45207804" w14:textId="77777777" w:rsidR="00C35596" w:rsidRPr="00F54202" w:rsidRDefault="00C35596" w:rsidP="00C35596">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Further this Undertaking (including all annexures / schedules) </w:t>
      </w:r>
      <w:proofErr w:type="gramStart"/>
      <w:r w:rsidRPr="00F54202">
        <w:rPr>
          <w:rFonts w:ascii="IBM Plex Sans" w:eastAsia="Times New Roman" w:hAnsi="IBM Plex Sans" w:cs="Times New Roman"/>
          <w:sz w:val="20"/>
          <w:szCs w:val="20"/>
          <w:lang w:val="en-US"/>
        </w:rPr>
        <w:t>has to</w:t>
      </w:r>
      <w:proofErr w:type="gramEnd"/>
      <w:r w:rsidRPr="00F54202">
        <w:rPr>
          <w:rFonts w:ascii="IBM Plex Sans" w:eastAsia="Times New Roman" w:hAnsi="IBM Plex Sans" w:cs="Times New Roman"/>
          <w:sz w:val="20"/>
          <w:szCs w:val="20"/>
          <w:lang w:val="en-US"/>
        </w:rPr>
        <w:t xml:space="preserve"> be notarized before a Notary Public. </w:t>
      </w:r>
    </w:p>
    <w:p w14:paraId="09A8FA49" w14:textId="77777777" w:rsidR="00C35596" w:rsidRPr="00F54202" w:rsidRDefault="00C35596" w:rsidP="00C35596">
      <w:pPr>
        <w:autoSpaceDE w:val="0"/>
        <w:autoSpaceDN w:val="0"/>
        <w:adjustRightInd w:val="0"/>
        <w:spacing w:after="0" w:line="240" w:lineRule="auto"/>
        <w:ind w:left="360"/>
        <w:jc w:val="both"/>
        <w:rPr>
          <w:rFonts w:ascii="IBM Plex Sans" w:eastAsia="Times New Roman" w:hAnsi="IBM Plex Sans" w:cs="Times New Roman"/>
          <w:sz w:val="20"/>
          <w:szCs w:val="20"/>
          <w:lang w:val="en-US"/>
        </w:rPr>
      </w:pPr>
    </w:p>
    <w:p w14:paraId="32968B47" w14:textId="77777777" w:rsidR="00C35596" w:rsidRPr="00F54202" w:rsidRDefault="00C35596" w:rsidP="00C35596">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All the pages of this Undertaking (including all annexures / schedules) </w:t>
      </w:r>
      <w:proofErr w:type="gramStart"/>
      <w:r w:rsidRPr="00F54202">
        <w:rPr>
          <w:rFonts w:ascii="IBM Plex Sans" w:eastAsia="Times New Roman" w:hAnsi="IBM Plex Sans" w:cs="Times New Roman"/>
          <w:sz w:val="20"/>
          <w:szCs w:val="20"/>
          <w:lang w:val="en-US"/>
        </w:rPr>
        <w:t>have to</w:t>
      </w:r>
      <w:proofErr w:type="gramEnd"/>
      <w:r w:rsidRPr="00F54202">
        <w:rPr>
          <w:rFonts w:ascii="IBM Plex Sans" w:eastAsia="Times New Roman" w:hAnsi="IBM Plex Sans" w:cs="Times New Roman"/>
          <w:sz w:val="20"/>
          <w:szCs w:val="20"/>
          <w:lang w:val="en-US"/>
        </w:rPr>
        <w:t xml:space="preserve"> be signed in full. The persons signing should also sign in full at all places in the Undertaking where anything has been hand-written / any corrections have been made. </w:t>
      </w:r>
    </w:p>
    <w:p w14:paraId="5469E494" w14:textId="77777777" w:rsidR="00C35596" w:rsidRPr="00F54202" w:rsidRDefault="00C35596" w:rsidP="00C35596">
      <w:pPr>
        <w:autoSpaceDE w:val="0"/>
        <w:autoSpaceDN w:val="0"/>
        <w:adjustRightInd w:val="0"/>
        <w:spacing w:after="0" w:line="240" w:lineRule="auto"/>
        <w:ind w:left="720"/>
        <w:jc w:val="both"/>
        <w:rPr>
          <w:rFonts w:ascii="IBM Plex Sans" w:eastAsia="Times New Roman" w:hAnsi="IBM Plex Sans" w:cs="Times New Roman"/>
          <w:sz w:val="20"/>
          <w:szCs w:val="20"/>
          <w:lang w:val="en-US"/>
        </w:rPr>
      </w:pPr>
    </w:p>
    <w:p w14:paraId="7D72EE09" w14:textId="77777777" w:rsidR="00C35596" w:rsidRPr="00F54202" w:rsidRDefault="00C35596" w:rsidP="00C35596">
      <w:pPr>
        <w:autoSpaceDE w:val="0"/>
        <w:autoSpaceDN w:val="0"/>
        <w:adjustRightInd w:val="0"/>
        <w:spacing w:after="0"/>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If the Trading Member is an individual, then the Undertaking </w:t>
      </w:r>
      <w:proofErr w:type="gramStart"/>
      <w:r w:rsidRPr="00F54202">
        <w:rPr>
          <w:rFonts w:ascii="IBM Plex Sans" w:eastAsia="Times New Roman" w:hAnsi="IBM Plex Sans" w:cs="Times New Roman"/>
          <w:sz w:val="20"/>
          <w:szCs w:val="20"/>
          <w:lang w:val="en-US"/>
        </w:rPr>
        <w:t>has to</w:t>
      </w:r>
      <w:proofErr w:type="gramEnd"/>
      <w:r w:rsidRPr="00F54202">
        <w:rPr>
          <w:rFonts w:ascii="IBM Plex Sans" w:eastAsia="Times New Roman" w:hAnsi="IBM Plex Sans" w:cs="Times New Roman"/>
          <w:sz w:val="20"/>
          <w:szCs w:val="20"/>
          <w:lang w:val="en-US"/>
        </w:rPr>
        <w:t xml:space="preserve"> be signed by the individual Trading Member himself. </w:t>
      </w:r>
    </w:p>
    <w:p w14:paraId="3D22BB2B"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787329AC"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If the Trading member is a firm, then ALL the partners are required to sign this Undertaking. </w:t>
      </w:r>
    </w:p>
    <w:p w14:paraId="7512AF81" w14:textId="77777777" w:rsidR="00C35596" w:rsidRPr="00F54202" w:rsidRDefault="00C35596" w:rsidP="00C35596">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717816A" w14:textId="192E82EC" w:rsidR="00C35596" w:rsidRDefault="00C35596" w:rsidP="00C35596">
      <w:pPr>
        <w:autoSpaceDE w:val="0"/>
        <w:autoSpaceDN w:val="0"/>
        <w:adjustRightInd w:val="0"/>
        <w:spacing w:after="0"/>
        <w:jc w:val="both"/>
      </w:pPr>
      <w:r w:rsidRPr="00F54202">
        <w:rPr>
          <w:rFonts w:ascii="IBM Plex Sans" w:eastAsia="Times New Roman" w:hAnsi="IBM Plex Sans" w:cs="Times New Roman"/>
          <w:sz w:val="20"/>
          <w:szCs w:val="20"/>
          <w:lang w:val="en-US"/>
        </w:rPr>
        <w:t xml:space="preserve">If the Trading Member is a corporate, then the Undertaking has to be signed by the Managing Director or any two Directors of the company named as an </w:t>
      </w:r>
      <w:proofErr w:type="gramStart"/>
      <w:r w:rsidRPr="00F54202">
        <w:rPr>
          <w:rFonts w:ascii="IBM Plex Sans" w:eastAsia="Times New Roman" w:hAnsi="IBM Plex Sans" w:cs="Times New Roman"/>
          <w:sz w:val="20"/>
          <w:szCs w:val="20"/>
          <w:lang w:val="en-US"/>
        </w:rPr>
        <w:t>authorized signatories of the company</w:t>
      </w:r>
      <w:proofErr w:type="gramEnd"/>
      <w:r w:rsidRPr="00F54202">
        <w:rPr>
          <w:rFonts w:ascii="IBM Plex Sans" w:eastAsia="Times New Roman" w:hAnsi="IBM Plex Sans" w:cs="Times New Roman"/>
          <w:sz w:val="20"/>
          <w:szCs w:val="20"/>
          <w:lang w:val="en-US"/>
        </w:rPr>
        <w:t xml:space="preserve">. If the Trading Member is a corporate, the Undertaking </w:t>
      </w:r>
      <w:proofErr w:type="gramStart"/>
      <w:r w:rsidRPr="00F54202">
        <w:rPr>
          <w:rFonts w:ascii="IBM Plex Sans" w:eastAsia="Times New Roman" w:hAnsi="IBM Plex Sans" w:cs="Times New Roman"/>
          <w:sz w:val="20"/>
          <w:szCs w:val="20"/>
          <w:lang w:val="en-US"/>
        </w:rPr>
        <w:t>has to</w:t>
      </w:r>
      <w:proofErr w:type="gramEnd"/>
      <w:r w:rsidRPr="00F54202">
        <w:rPr>
          <w:rFonts w:ascii="IBM Plex Sans" w:eastAsia="Times New Roman" w:hAnsi="IBM Plex Sans" w:cs="Times New Roman"/>
          <w:sz w:val="20"/>
          <w:szCs w:val="20"/>
          <w:lang w:val="en-US"/>
        </w:rPr>
        <w:t xml:space="preserve"> be accompanied with a certified copy of the resolution of the Board of Directors of the company authorizing the person(s) executing the undertaking to do so. The Common Seal of the company </w:t>
      </w:r>
      <w:proofErr w:type="gramStart"/>
      <w:r w:rsidRPr="00F54202">
        <w:rPr>
          <w:rFonts w:ascii="IBM Plex Sans" w:eastAsia="Times New Roman" w:hAnsi="IBM Plex Sans" w:cs="Times New Roman"/>
          <w:sz w:val="20"/>
          <w:szCs w:val="20"/>
          <w:lang w:val="en-US"/>
        </w:rPr>
        <w:t>has to</w:t>
      </w:r>
      <w:proofErr w:type="gramEnd"/>
      <w:r w:rsidRPr="00F54202">
        <w:rPr>
          <w:rFonts w:ascii="IBM Plex Sans" w:eastAsia="Times New Roman" w:hAnsi="IBM Plex Sans" w:cs="Times New Roman"/>
          <w:sz w:val="20"/>
          <w:szCs w:val="20"/>
          <w:lang w:val="en-US"/>
        </w:rPr>
        <w:t xml:space="preserve"> be affixed by the company on this Undertaking in the presence of such persons as authorized by the Articles of Association of the company. The Board Resolution should clearly state that the affixation of common seal shall be made in the presence of such persons as authorized by the Articles of Association of the company and should also clearly state the names of such persons. The above persons should sign the undertaking as a token of their presence when the common seal is affixed.</w:t>
      </w:r>
    </w:p>
    <w:sectPr w:rsidR="00C355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67942"/>
    <w:multiLevelType w:val="hybridMultilevel"/>
    <w:tmpl w:val="7CA8C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554F71"/>
    <w:multiLevelType w:val="hybridMultilevel"/>
    <w:tmpl w:val="EED2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8651919">
    <w:abstractNumId w:val="1"/>
  </w:num>
  <w:num w:numId="2" w16cid:durableId="1413895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96"/>
    <w:rsid w:val="00C355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E681"/>
  <w15:chartTrackingRefBased/>
  <w15:docId w15:val="{2396C209-CCE6-4B0B-A639-DBC2BD4D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59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982</Words>
  <Characters>5601</Characters>
  <Application>Microsoft Office Word</Application>
  <DocSecurity>0</DocSecurity>
  <Lines>46</Lines>
  <Paragraphs>13</Paragraphs>
  <ScaleCrop>false</ScaleCrop>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1</cp:revision>
  <dcterms:created xsi:type="dcterms:W3CDTF">2023-06-12T09:25:00Z</dcterms:created>
  <dcterms:modified xsi:type="dcterms:W3CDTF">2023-06-12T09:26:00Z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2023-06-12T09:26:43Z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6b595092-278f-43c2-b5dd-cfb4957b9afa</vt:lpwstr>
  </property>
  <property fmtid="{D5CDD505-2E9C-101B-9397-08002B2CF9AE}" pid="8" name="MSIP_Label_305f50f5-e953-4c63-867b-388561f41989_ContentBits">
    <vt:lpwstr>0</vt:lpwstr>
  </property>
</Properties>
</file>