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EB24C" w14:textId="77777777" w:rsidR="00383CF1" w:rsidRPr="00383CF1" w:rsidRDefault="00383CF1" w:rsidP="00383CF1">
      <w:pPr>
        <w:pStyle w:val="Heading1"/>
        <w:rPr>
          <w:b/>
          <w:bCs/>
          <w:color w:val="auto"/>
          <w:sz w:val="32"/>
          <w:szCs w:val="32"/>
        </w:rPr>
      </w:pPr>
      <w:bookmarkStart w:id="0" w:name="_Toc56073949"/>
      <w:bookmarkStart w:id="1" w:name="_Toc138683004"/>
      <w:r w:rsidRPr="00383CF1">
        <w:rPr>
          <w:b/>
          <w:bCs/>
          <w:color w:val="auto"/>
          <w:sz w:val="32"/>
          <w:szCs w:val="32"/>
        </w:rPr>
        <w:t>Format of agreement for placing G-Sec/T-Bills as collaterals</w:t>
      </w:r>
      <w:bookmarkEnd w:id="0"/>
      <w:bookmarkEnd w:id="1"/>
    </w:p>
    <w:p w14:paraId="71FAF190" w14:textId="77777777" w:rsidR="00383CF1" w:rsidRDefault="00383CF1" w:rsidP="00383CF1">
      <w:pPr>
        <w:adjustRightInd w:val="0"/>
        <w:spacing w:line="240" w:lineRule="atLeast"/>
        <w:jc w:val="both"/>
        <w:rPr>
          <w:color w:val="000000"/>
        </w:rPr>
      </w:pPr>
    </w:p>
    <w:p w14:paraId="431206FE" w14:textId="77777777" w:rsidR="00383CF1" w:rsidRPr="00BB501D" w:rsidRDefault="00383CF1" w:rsidP="00383CF1">
      <w:pPr>
        <w:pStyle w:val="BodyText2"/>
      </w:pPr>
      <w:r w:rsidRPr="00BB501D">
        <w:t xml:space="preserve">This Agreement is made and executed at Mumbai on this ___ day of ____ 20. </w:t>
      </w:r>
    </w:p>
    <w:p w14:paraId="25A3047C" w14:textId="77777777" w:rsidR="00383CF1" w:rsidRPr="00BB501D" w:rsidRDefault="00383CF1" w:rsidP="00383CF1">
      <w:pPr>
        <w:jc w:val="both"/>
        <w:rPr>
          <w:color w:val="000000"/>
        </w:rPr>
      </w:pPr>
    </w:p>
    <w:p w14:paraId="79EFC416" w14:textId="77777777" w:rsidR="00383CF1" w:rsidRPr="00BB501D" w:rsidRDefault="00383CF1" w:rsidP="00383CF1">
      <w:pPr>
        <w:jc w:val="both"/>
        <w:rPr>
          <w:color w:val="000000"/>
        </w:rPr>
      </w:pPr>
      <w:r w:rsidRPr="00BB501D">
        <w:rPr>
          <w:b/>
          <w:color w:val="000000"/>
        </w:rPr>
        <w:t>Between:</w:t>
      </w:r>
    </w:p>
    <w:p w14:paraId="7E428549" w14:textId="77777777" w:rsidR="00383CF1" w:rsidRPr="00BB501D" w:rsidRDefault="00383CF1" w:rsidP="00383CF1">
      <w:pPr>
        <w:ind w:firstLine="720"/>
        <w:jc w:val="both"/>
        <w:rPr>
          <w:color w:val="000000"/>
        </w:rPr>
      </w:pPr>
    </w:p>
    <w:p w14:paraId="5900471E" w14:textId="77777777" w:rsidR="00383CF1" w:rsidRPr="00BB501D" w:rsidRDefault="00383CF1" w:rsidP="00383CF1">
      <w:pPr>
        <w:jc w:val="both"/>
        <w:rPr>
          <w:color w:val="000000"/>
        </w:rPr>
      </w:pPr>
      <w:r>
        <w:rPr>
          <w:color w:val="000000"/>
        </w:rPr>
        <w:t xml:space="preserve">NSE </w:t>
      </w:r>
      <w:r w:rsidRPr="00BB501D">
        <w:rPr>
          <w:color w:val="000000"/>
        </w:rPr>
        <w:t xml:space="preserve">Clearing Limited, a company incorporated under the provisions of the Companies Act, 1956, having its registered office at____________________, hereinafter referred to </w:t>
      </w:r>
      <w:proofErr w:type="gramStart"/>
      <w:r w:rsidRPr="00BB501D">
        <w:rPr>
          <w:color w:val="000000"/>
        </w:rPr>
        <w:t xml:space="preserve">as  </w:t>
      </w:r>
      <w:r w:rsidRPr="00BB501D">
        <w:rPr>
          <w:b/>
          <w:color w:val="000000"/>
        </w:rPr>
        <w:t>“</w:t>
      </w:r>
      <w:proofErr w:type="gramEnd"/>
      <w:r w:rsidRPr="00BB501D">
        <w:rPr>
          <w:b/>
          <w:color w:val="000000"/>
        </w:rPr>
        <w:t>NCL”</w:t>
      </w:r>
      <w:r w:rsidRPr="00BB501D">
        <w:rPr>
          <w:color w:val="000000"/>
        </w:rPr>
        <w:t xml:space="preserve"> (which expression shall unless repugnant to the context or meaning thereof be deemed to mean and include its successors and assigns) of the </w:t>
      </w:r>
      <w:r w:rsidRPr="00BB501D">
        <w:rPr>
          <w:b/>
          <w:bCs/>
          <w:color w:val="000000"/>
        </w:rPr>
        <w:t>One Part</w:t>
      </w:r>
      <w:r w:rsidRPr="00BB501D">
        <w:rPr>
          <w:color w:val="000000"/>
        </w:rPr>
        <w:t>;</w:t>
      </w:r>
    </w:p>
    <w:p w14:paraId="7AB51EA4" w14:textId="77777777" w:rsidR="00383CF1" w:rsidRPr="00BB501D" w:rsidRDefault="00383CF1" w:rsidP="00383CF1">
      <w:pPr>
        <w:jc w:val="both"/>
        <w:rPr>
          <w:color w:val="000000"/>
        </w:rPr>
      </w:pPr>
    </w:p>
    <w:p w14:paraId="11656421" w14:textId="77777777" w:rsidR="00383CF1" w:rsidRPr="00BB501D" w:rsidRDefault="00383CF1" w:rsidP="00383CF1">
      <w:pPr>
        <w:jc w:val="both"/>
        <w:rPr>
          <w:color w:val="000000"/>
        </w:rPr>
      </w:pPr>
      <w:bookmarkStart w:id="2" w:name="_Toc404613269"/>
      <w:r w:rsidRPr="00BB501D">
        <w:rPr>
          <w:color w:val="000000"/>
        </w:rPr>
        <w:t>And</w:t>
      </w:r>
      <w:bookmarkEnd w:id="2"/>
    </w:p>
    <w:p w14:paraId="79BF04DA" w14:textId="77777777" w:rsidR="00383CF1" w:rsidRPr="00BB501D" w:rsidRDefault="00383CF1" w:rsidP="00383CF1">
      <w:pPr>
        <w:jc w:val="both"/>
        <w:rPr>
          <w:color w:val="000000"/>
        </w:rPr>
      </w:pPr>
    </w:p>
    <w:p w14:paraId="302A083F" w14:textId="77777777" w:rsidR="00383CF1" w:rsidRPr="00BB501D" w:rsidRDefault="00383CF1" w:rsidP="00383CF1">
      <w:pPr>
        <w:jc w:val="both"/>
        <w:rPr>
          <w:color w:val="000000"/>
        </w:rPr>
      </w:pPr>
      <w:r w:rsidRPr="00BB501D">
        <w:rPr>
          <w:color w:val="000000"/>
        </w:rPr>
        <w:t xml:space="preserve">Mr./Ms./M/s. ______________________, an individual/ a partnership firm / a body corporate, registered/ incorporated under the provisions of the Indian Partnership Act, 1932 / Companies Act, 1956, having his /her / its office / registered office at ________________________, hereinafter referred to as </w:t>
      </w:r>
      <w:r w:rsidRPr="00BB501D">
        <w:rPr>
          <w:b/>
          <w:color w:val="000000"/>
        </w:rPr>
        <w:t>“Constituent”</w:t>
      </w:r>
      <w:r w:rsidRPr="00BB501D">
        <w:rPr>
          <w:color w:val="000000"/>
        </w:rPr>
        <w:t xml:space="preserve"> (which expression shall, unless  repugnant to the context or meaning thereof, be deemed to mean and include his/her heirs, executors and  administrators / the partners of the said firm for the time being, the survivor or survivors of them and the  heirs, executors and administrators of such last survivor / its successors and legal representatives, as the case may be) of the </w:t>
      </w:r>
      <w:r w:rsidRPr="00BB501D">
        <w:rPr>
          <w:b/>
          <w:bCs/>
          <w:color w:val="000000"/>
        </w:rPr>
        <w:t>Other Part</w:t>
      </w:r>
      <w:r w:rsidRPr="00BB501D">
        <w:rPr>
          <w:color w:val="000000"/>
        </w:rPr>
        <w:t>.</w:t>
      </w:r>
    </w:p>
    <w:p w14:paraId="578B25D6" w14:textId="77777777" w:rsidR="00383CF1" w:rsidRPr="00BB501D" w:rsidRDefault="00383CF1" w:rsidP="00383CF1">
      <w:pPr>
        <w:jc w:val="both"/>
        <w:rPr>
          <w:color w:val="000000"/>
        </w:rPr>
      </w:pPr>
    </w:p>
    <w:p w14:paraId="1037717D" w14:textId="77777777" w:rsidR="00383CF1" w:rsidRPr="00BB501D" w:rsidRDefault="00383CF1" w:rsidP="00383CF1">
      <w:pPr>
        <w:jc w:val="both"/>
        <w:rPr>
          <w:b/>
          <w:color w:val="000000"/>
        </w:rPr>
      </w:pPr>
    </w:p>
    <w:p w14:paraId="3A098DB8" w14:textId="77777777" w:rsidR="00383CF1" w:rsidRPr="00BB501D" w:rsidRDefault="00383CF1" w:rsidP="00383CF1">
      <w:pPr>
        <w:jc w:val="both"/>
        <w:rPr>
          <w:color w:val="000000"/>
        </w:rPr>
      </w:pPr>
      <w:proofErr w:type="gramStart"/>
      <w:r w:rsidRPr="00BB501D">
        <w:rPr>
          <w:b/>
          <w:color w:val="000000"/>
        </w:rPr>
        <w:t>WHEREAS</w:t>
      </w:r>
      <w:r w:rsidRPr="00BB501D">
        <w:rPr>
          <w:color w:val="000000"/>
        </w:rPr>
        <w:t xml:space="preserve"> </w:t>
      </w:r>
      <w:r w:rsidRPr="00BB501D">
        <w:rPr>
          <w:b/>
          <w:color w:val="000000"/>
        </w:rPr>
        <w:t>:</w:t>
      </w:r>
      <w:proofErr w:type="gramEnd"/>
    </w:p>
    <w:p w14:paraId="1B8EA65C" w14:textId="77777777" w:rsidR="00383CF1" w:rsidRPr="00BB501D" w:rsidRDefault="00383CF1" w:rsidP="00383CF1">
      <w:pPr>
        <w:jc w:val="both"/>
        <w:rPr>
          <w:color w:val="000000"/>
        </w:rPr>
      </w:pPr>
    </w:p>
    <w:p w14:paraId="4A90DB15" w14:textId="77777777" w:rsidR="00383CF1" w:rsidRPr="00BB501D" w:rsidRDefault="00383CF1" w:rsidP="00383CF1">
      <w:pPr>
        <w:numPr>
          <w:ilvl w:val="0"/>
          <w:numId w:val="2"/>
        </w:numPr>
        <w:ind w:left="283" w:hanging="283"/>
        <w:jc w:val="both"/>
        <w:rPr>
          <w:color w:val="000000"/>
        </w:rPr>
      </w:pPr>
      <w:r w:rsidRPr="00BB501D">
        <w:rPr>
          <w:color w:val="000000"/>
        </w:rPr>
        <w:t xml:space="preserve">Reserve Bank of India (RBI) has allowed </w:t>
      </w:r>
      <w:r>
        <w:rPr>
          <w:color w:val="000000"/>
        </w:rPr>
        <w:t>NCL</w:t>
      </w:r>
      <w:r w:rsidRPr="00BB501D">
        <w:rPr>
          <w:color w:val="000000"/>
        </w:rPr>
        <w:t xml:space="preserve"> to open Constituent Subsidiary General Ledger Account (SGL Account) with it which </w:t>
      </w:r>
      <w:r>
        <w:rPr>
          <w:color w:val="000000"/>
        </w:rPr>
        <w:t>NCL</w:t>
      </w:r>
      <w:r w:rsidRPr="00BB501D">
        <w:rPr>
          <w:color w:val="000000"/>
        </w:rPr>
        <w:t xml:space="preserve"> shall use for the benefit of its constituents by opening sub-accounts (SGL Sub Account) in the name of its constituents in its books of accounts.</w:t>
      </w:r>
    </w:p>
    <w:p w14:paraId="32318F4B" w14:textId="77777777" w:rsidR="00383CF1" w:rsidRPr="00BB501D" w:rsidRDefault="00383CF1" w:rsidP="00383CF1">
      <w:pPr>
        <w:ind w:left="283"/>
        <w:jc w:val="both"/>
        <w:rPr>
          <w:color w:val="000000"/>
        </w:rPr>
      </w:pPr>
    </w:p>
    <w:p w14:paraId="325301D8" w14:textId="77777777" w:rsidR="00383CF1" w:rsidRPr="00BB501D" w:rsidRDefault="00383CF1" w:rsidP="00383CF1">
      <w:pPr>
        <w:numPr>
          <w:ilvl w:val="0"/>
          <w:numId w:val="2"/>
        </w:numPr>
        <w:ind w:left="283" w:hanging="283"/>
        <w:jc w:val="both"/>
        <w:rPr>
          <w:color w:val="000000"/>
        </w:rPr>
      </w:pPr>
      <w:r w:rsidRPr="00BB501D">
        <w:rPr>
          <w:color w:val="000000"/>
        </w:rPr>
        <w:t xml:space="preserve">The Constituent being a Clearing Member of </w:t>
      </w:r>
      <w:r>
        <w:rPr>
          <w:color w:val="000000"/>
        </w:rPr>
        <w:t>NCL</w:t>
      </w:r>
      <w:r w:rsidRPr="00BB501D">
        <w:rPr>
          <w:color w:val="000000"/>
        </w:rPr>
        <w:t xml:space="preserve">, has requested </w:t>
      </w:r>
      <w:r>
        <w:rPr>
          <w:color w:val="000000"/>
        </w:rPr>
        <w:t>NCL</w:t>
      </w:r>
      <w:r w:rsidRPr="00BB501D">
        <w:rPr>
          <w:color w:val="000000"/>
        </w:rPr>
        <w:t xml:space="preserve"> to open a SGL Sub Account in its books of accounts for the purpose of transferring government securities to the SGL Account as collateral towards margin deposit/security deposit and </w:t>
      </w:r>
      <w:r>
        <w:rPr>
          <w:color w:val="000000"/>
        </w:rPr>
        <w:t>NCL</w:t>
      </w:r>
      <w:r w:rsidRPr="00BB501D">
        <w:rPr>
          <w:color w:val="000000"/>
        </w:rPr>
        <w:t xml:space="preserve"> has agreed to open a SGL Sub Account in the name of the Constituent in the SGL Account maintained by it with RBI subject to the terms and conditions as mentioned herein and terms and conditions specified by </w:t>
      </w:r>
      <w:r>
        <w:rPr>
          <w:color w:val="000000"/>
        </w:rPr>
        <w:t>NCL</w:t>
      </w:r>
      <w:r w:rsidRPr="00BB501D">
        <w:rPr>
          <w:color w:val="000000"/>
        </w:rPr>
        <w:t xml:space="preserve"> in its Circulars issued from time to time.</w:t>
      </w:r>
    </w:p>
    <w:p w14:paraId="357A8DE4" w14:textId="77777777" w:rsidR="00383CF1" w:rsidRPr="00BB501D" w:rsidRDefault="00383CF1" w:rsidP="00383CF1">
      <w:pPr>
        <w:ind w:left="283"/>
        <w:jc w:val="both"/>
        <w:rPr>
          <w:color w:val="000000"/>
        </w:rPr>
      </w:pPr>
    </w:p>
    <w:p w14:paraId="39A2362D" w14:textId="77777777" w:rsidR="00383CF1" w:rsidRPr="00BB501D" w:rsidRDefault="00383CF1" w:rsidP="00383CF1">
      <w:pPr>
        <w:numPr>
          <w:ilvl w:val="0"/>
          <w:numId w:val="2"/>
        </w:numPr>
        <w:ind w:left="283" w:hanging="283"/>
        <w:jc w:val="both"/>
        <w:rPr>
          <w:color w:val="000000"/>
        </w:rPr>
      </w:pPr>
      <w:r w:rsidRPr="00BB501D">
        <w:rPr>
          <w:color w:val="000000"/>
        </w:rPr>
        <w:t xml:space="preserve">The parties hereto are desirous of recording the terms and conditions subject to which </w:t>
      </w:r>
      <w:r>
        <w:rPr>
          <w:color w:val="000000"/>
        </w:rPr>
        <w:t>NCL</w:t>
      </w:r>
      <w:r w:rsidRPr="00BB501D">
        <w:rPr>
          <w:color w:val="000000"/>
        </w:rPr>
        <w:t xml:space="preserve"> shall open and maintain </w:t>
      </w:r>
      <w:proofErr w:type="gramStart"/>
      <w:r w:rsidRPr="00BB501D">
        <w:rPr>
          <w:color w:val="000000"/>
        </w:rPr>
        <w:t>a</w:t>
      </w:r>
      <w:proofErr w:type="gramEnd"/>
      <w:r w:rsidRPr="00BB501D">
        <w:rPr>
          <w:color w:val="000000"/>
        </w:rPr>
        <w:t xml:space="preserve"> SGL Sub Account of the Constituent. </w:t>
      </w:r>
    </w:p>
    <w:p w14:paraId="1F0527BA" w14:textId="77777777" w:rsidR="00383CF1" w:rsidRPr="00BB501D" w:rsidRDefault="00383CF1" w:rsidP="00383CF1">
      <w:pPr>
        <w:jc w:val="both"/>
        <w:rPr>
          <w:color w:val="000000"/>
        </w:rPr>
      </w:pPr>
    </w:p>
    <w:p w14:paraId="23D1DA12" w14:textId="77777777" w:rsidR="00383CF1" w:rsidRPr="00BB501D" w:rsidRDefault="00383CF1" w:rsidP="00383CF1">
      <w:pPr>
        <w:jc w:val="both"/>
        <w:rPr>
          <w:color w:val="000000"/>
        </w:rPr>
      </w:pPr>
      <w:r w:rsidRPr="00BB501D">
        <w:rPr>
          <w:color w:val="000000"/>
        </w:rPr>
        <w:t>NOW THERFORE, IT IS HEREBY MUTUALLY AGREED UPON BETWEEN THE PARTIES HERETO AS FOLLOWS:</w:t>
      </w:r>
    </w:p>
    <w:p w14:paraId="44A7B3AA" w14:textId="77777777" w:rsidR="00383CF1" w:rsidRPr="00BB501D" w:rsidRDefault="00383CF1" w:rsidP="00383CF1">
      <w:pPr>
        <w:rPr>
          <w:color w:val="000000"/>
        </w:rPr>
      </w:pPr>
    </w:p>
    <w:p w14:paraId="70A45367" w14:textId="77777777" w:rsidR="00383CF1" w:rsidRPr="00BB501D" w:rsidRDefault="00383CF1" w:rsidP="00383CF1">
      <w:pPr>
        <w:rPr>
          <w:b/>
          <w:color w:val="000000"/>
        </w:rPr>
      </w:pPr>
      <w:r w:rsidRPr="00BB501D">
        <w:rPr>
          <w:b/>
          <w:color w:val="000000"/>
        </w:rPr>
        <w:t>1.         Opening of the SGL Sub Account:</w:t>
      </w:r>
    </w:p>
    <w:p w14:paraId="6B207DAB" w14:textId="77777777" w:rsidR="00383CF1" w:rsidRPr="00BB501D" w:rsidRDefault="00383CF1" w:rsidP="00383CF1">
      <w:pPr>
        <w:rPr>
          <w:color w:val="000000"/>
        </w:rPr>
      </w:pPr>
    </w:p>
    <w:p w14:paraId="5881EEA6"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open </w:t>
      </w:r>
      <w:proofErr w:type="gramStart"/>
      <w:r w:rsidRPr="00BB501D">
        <w:rPr>
          <w:color w:val="000000"/>
        </w:rPr>
        <w:t>a</w:t>
      </w:r>
      <w:proofErr w:type="gramEnd"/>
      <w:r w:rsidRPr="00BB501D">
        <w:rPr>
          <w:color w:val="000000"/>
        </w:rPr>
        <w:t xml:space="preserve"> SGL Sub Account in the name of the Constituent in its SGL Account with RBI.</w:t>
      </w:r>
    </w:p>
    <w:p w14:paraId="0BAD34F1" w14:textId="77777777" w:rsidR="00383CF1" w:rsidRPr="00BB501D" w:rsidRDefault="00383CF1" w:rsidP="00383CF1">
      <w:pPr>
        <w:ind w:left="720"/>
        <w:rPr>
          <w:color w:val="000000"/>
        </w:rPr>
      </w:pPr>
    </w:p>
    <w:p w14:paraId="0ED4C4D7"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lastRenderedPageBreak/>
        <w:tab/>
        <w:t xml:space="preserve">Only government securities in </w:t>
      </w:r>
      <w:proofErr w:type="spellStart"/>
      <w:r w:rsidRPr="00BB501D">
        <w:rPr>
          <w:color w:val="000000"/>
        </w:rPr>
        <w:t>demateralised</w:t>
      </w:r>
      <w:proofErr w:type="spellEnd"/>
      <w:r w:rsidRPr="00BB501D">
        <w:rPr>
          <w:color w:val="000000"/>
        </w:rPr>
        <w:t xml:space="preserve"> form shall be permitted to be transferred to the SGL Account.</w:t>
      </w:r>
    </w:p>
    <w:p w14:paraId="139023EE" w14:textId="77777777" w:rsidR="00383CF1" w:rsidRPr="00BB501D" w:rsidRDefault="00383CF1" w:rsidP="00383CF1">
      <w:pPr>
        <w:rPr>
          <w:color w:val="000000"/>
        </w:rPr>
      </w:pPr>
    </w:p>
    <w:p w14:paraId="1BBF214D"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t xml:space="preserve">The government securities transferred to the said SGL Account as collateral shall not be permitted by </w:t>
      </w:r>
      <w:r>
        <w:rPr>
          <w:color w:val="000000"/>
        </w:rPr>
        <w:t>NCL</w:t>
      </w:r>
      <w:r w:rsidRPr="00BB501D">
        <w:rPr>
          <w:color w:val="000000"/>
        </w:rPr>
        <w:t xml:space="preserve"> to be used by the Constituent for any purpose other than as collateral towards margin deposit/security deposit and therefore the Constituent is barred from creating any encumbrance with respect to the government securities transferred in any manner whatsoever including by way of pledge, hypothecation or lien. </w:t>
      </w:r>
    </w:p>
    <w:p w14:paraId="0E6D5786" w14:textId="77777777" w:rsidR="00383CF1" w:rsidRPr="00BB501D" w:rsidRDefault="00383CF1" w:rsidP="00383CF1">
      <w:pPr>
        <w:pStyle w:val="ListParagraph"/>
        <w:rPr>
          <w:color w:val="000000"/>
        </w:rPr>
      </w:pPr>
    </w:p>
    <w:p w14:paraId="13C36D46"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t xml:space="preserve">The government securities transferred to the said SGL Account shall be dealt with by </w:t>
      </w:r>
      <w:r>
        <w:rPr>
          <w:color w:val="000000"/>
        </w:rPr>
        <w:t>NCL</w:t>
      </w:r>
      <w:r w:rsidRPr="00BB501D">
        <w:rPr>
          <w:color w:val="000000"/>
        </w:rPr>
        <w:t xml:space="preserve"> as a Clearing Corporation in accordance with the Rules, Byelaws, Regulations and the Circulars issued there under from time to time.</w:t>
      </w:r>
    </w:p>
    <w:p w14:paraId="4B43D5BE" w14:textId="77777777" w:rsidR="00383CF1" w:rsidRPr="00BB501D" w:rsidRDefault="00383CF1" w:rsidP="00383CF1">
      <w:pPr>
        <w:rPr>
          <w:color w:val="000000"/>
        </w:rPr>
      </w:pPr>
    </w:p>
    <w:p w14:paraId="046BC686"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t xml:space="preserve">The Constituent agrees and consents that </w:t>
      </w:r>
      <w:r>
        <w:rPr>
          <w:color w:val="000000"/>
        </w:rPr>
        <w:t>NCL</w:t>
      </w:r>
      <w:r w:rsidRPr="00BB501D">
        <w:rPr>
          <w:color w:val="000000"/>
        </w:rPr>
        <w:t xml:space="preserve"> shall have an irrevocable authority to sell the government securities through its designated brokers at any time, even prior to maturity without notice to the constituent for recovery/adjustment of </w:t>
      </w:r>
      <w:r>
        <w:rPr>
          <w:color w:val="000000"/>
        </w:rPr>
        <w:t>NCL</w:t>
      </w:r>
      <w:r w:rsidRPr="00BB501D">
        <w:rPr>
          <w:color w:val="000000"/>
        </w:rPr>
        <w:t xml:space="preserve"> dues, in case of default of the Constituent in meeting its obligations as a Clearing Member of </w:t>
      </w:r>
      <w:r>
        <w:rPr>
          <w:color w:val="000000"/>
        </w:rPr>
        <w:t>NCL</w:t>
      </w:r>
      <w:r w:rsidRPr="00BB501D">
        <w:rPr>
          <w:color w:val="000000"/>
        </w:rPr>
        <w:t>.</w:t>
      </w:r>
    </w:p>
    <w:p w14:paraId="35ABB6C1" w14:textId="77777777" w:rsidR="00383CF1" w:rsidRPr="00BB501D" w:rsidRDefault="00383CF1" w:rsidP="00383CF1">
      <w:pPr>
        <w:rPr>
          <w:color w:val="000000"/>
        </w:rPr>
      </w:pPr>
    </w:p>
    <w:p w14:paraId="178EED2C"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t xml:space="preserve">The Constituent agrees to abide by the Business Rules laid down by the </w:t>
      </w:r>
      <w:proofErr w:type="gramStart"/>
      <w:r>
        <w:rPr>
          <w:color w:val="000000"/>
        </w:rPr>
        <w:t>NCL</w:t>
      </w:r>
      <w:r w:rsidRPr="00BB501D">
        <w:rPr>
          <w:color w:val="000000"/>
        </w:rPr>
        <w:t xml:space="preserve">  from</w:t>
      </w:r>
      <w:proofErr w:type="gramEnd"/>
      <w:r w:rsidRPr="00BB501D">
        <w:rPr>
          <w:color w:val="000000"/>
        </w:rPr>
        <w:t xml:space="preserve"> time to time regarding the SGL Sub Account and as specified by </w:t>
      </w:r>
      <w:r>
        <w:rPr>
          <w:color w:val="000000"/>
        </w:rPr>
        <w:t>NCL</w:t>
      </w:r>
      <w:r w:rsidRPr="00BB501D">
        <w:rPr>
          <w:color w:val="000000"/>
        </w:rPr>
        <w:t xml:space="preserve"> in its Circulars issued from time to time.</w:t>
      </w:r>
    </w:p>
    <w:p w14:paraId="612D6967" w14:textId="77777777" w:rsidR="00383CF1" w:rsidRPr="00BB501D" w:rsidRDefault="00383CF1" w:rsidP="00383CF1">
      <w:pPr>
        <w:rPr>
          <w:b/>
          <w:color w:val="000000"/>
        </w:rPr>
      </w:pPr>
    </w:p>
    <w:p w14:paraId="26318C01"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t xml:space="preserve">If RBI deducts any income tax at source (TDS) on the interest payable at the rate applicable to </w:t>
      </w:r>
      <w:r>
        <w:rPr>
          <w:color w:val="000000"/>
        </w:rPr>
        <w:t>NCL</w:t>
      </w:r>
      <w:r w:rsidRPr="00BB501D">
        <w:rPr>
          <w:color w:val="000000"/>
        </w:rPr>
        <w:t xml:space="preserve"> the same will be passed on to the constituent, who may have a different tax rate. In case the Constituent desires to avail of any concession from TDS it will have to submit all requisite forms/documents to </w:t>
      </w:r>
      <w:r>
        <w:rPr>
          <w:color w:val="000000"/>
        </w:rPr>
        <w:t>NCL</w:t>
      </w:r>
      <w:r w:rsidRPr="00BB501D">
        <w:rPr>
          <w:color w:val="000000"/>
        </w:rPr>
        <w:t xml:space="preserve"> within such time as required by </w:t>
      </w:r>
      <w:r>
        <w:rPr>
          <w:color w:val="000000"/>
        </w:rPr>
        <w:t>NCL</w:t>
      </w:r>
      <w:r w:rsidRPr="00BB501D">
        <w:rPr>
          <w:color w:val="000000"/>
        </w:rPr>
        <w:t xml:space="preserve">/RBI for the purpose. In such cases, </w:t>
      </w:r>
      <w:r>
        <w:rPr>
          <w:color w:val="000000"/>
        </w:rPr>
        <w:t>NCL</w:t>
      </w:r>
      <w:r w:rsidRPr="00BB501D">
        <w:rPr>
          <w:color w:val="000000"/>
        </w:rPr>
        <w:t xml:space="preserve"> will try on a best effort basis to get the interest payment without the deduction. </w:t>
      </w:r>
    </w:p>
    <w:p w14:paraId="55D4D84E" w14:textId="77777777" w:rsidR="00383CF1" w:rsidRPr="00BB501D" w:rsidRDefault="00383CF1" w:rsidP="00383CF1">
      <w:pPr>
        <w:rPr>
          <w:b/>
          <w:color w:val="000000"/>
        </w:rPr>
      </w:pPr>
    </w:p>
    <w:p w14:paraId="617B0F49"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t xml:space="preserve">Operation of the SGL Sub Account will be carried out on the written instructions received from the </w:t>
      </w:r>
      <w:proofErr w:type="spellStart"/>
      <w:r w:rsidRPr="00BB501D">
        <w:rPr>
          <w:color w:val="000000"/>
        </w:rPr>
        <w:t>authorised</w:t>
      </w:r>
      <w:proofErr w:type="spellEnd"/>
      <w:r w:rsidRPr="00BB501D">
        <w:rPr>
          <w:color w:val="000000"/>
        </w:rPr>
        <w:t xml:space="preserve"> signatories of the Constituents received by </w:t>
      </w:r>
      <w:r>
        <w:rPr>
          <w:color w:val="000000"/>
        </w:rPr>
        <w:t>NCL</w:t>
      </w:r>
      <w:r w:rsidRPr="00BB501D">
        <w:rPr>
          <w:color w:val="000000"/>
        </w:rPr>
        <w:t xml:space="preserve"> at its designated office(s) as may be intimated by </w:t>
      </w:r>
      <w:r>
        <w:rPr>
          <w:color w:val="000000"/>
        </w:rPr>
        <w:t>NCL</w:t>
      </w:r>
      <w:r w:rsidRPr="00BB501D">
        <w:rPr>
          <w:color w:val="000000"/>
        </w:rPr>
        <w:t xml:space="preserve">. A </w:t>
      </w:r>
      <w:proofErr w:type="spellStart"/>
      <w:r w:rsidRPr="00BB501D">
        <w:rPr>
          <w:color w:val="000000"/>
        </w:rPr>
        <w:t>fascimile</w:t>
      </w:r>
      <w:proofErr w:type="spellEnd"/>
      <w:r w:rsidRPr="00BB501D">
        <w:rPr>
          <w:color w:val="000000"/>
        </w:rPr>
        <w:t xml:space="preserve"> received by </w:t>
      </w:r>
      <w:r>
        <w:rPr>
          <w:color w:val="000000"/>
        </w:rPr>
        <w:t>NCL</w:t>
      </w:r>
      <w:r w:rsidRPr="00BB501D">
        <w:rPr>
          <w:color w:val="000000"/>
        </w:rPr>
        <w:t xml:space="preserve"> for this purpose shall also be considered </w:t>
      </w:r>
      <w:proofErr w:type="gramStart"/>
      <w:r w:rsidRPr="00BB501D">
        <w:rPr>
          <w:color w:val="000000"/>
        </w:rPr>
        <w:t>a conclusive evidence of instruction</w:t>
      </w:r>
      <w:proofErr w:type="gramEnd"/>
      <w:r w:rsidRPr="00BB501D">
        <w:rPr>
          <w:color w:val="000000"/>
        </w:rPr>
        <w:t>.</w:t>
      </w:r>
    </w:p>
    <w:p w14:paraId="49065363" w14:textId="77777777" w:rsidR="00383CF1" w:rsidRPr="00BB501D" w:rsidRDefault="00383CF1" w:rsidP="00383CF1">
      <w:pPr>
        <w:jc w:val="both"/>
        <w:rPr>
          <w:b/>
          <w:color w:val="000000"/>
        </w:rPr>
      </w:pPr>
    </w:p>
    <w:p w14:paraId="12B9DE13"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issue daily statements to the Constituent from time to time with respect to the security balances of the Constituent. The Constituent agrees to point out any discrepancies to </w:t>
      </w:r>
      <w:r>
        <w:rPr>
          <w:color w:val="000000"/>
        </w:rPr>
        <w:t>NCL</w:t>
      </w:r>
      <w:r w:rsidRPr="00BB501D">
        <w:rPr>
          <w:color w:val="000000"/>
        </w:rPr>
        <w:t xml:space="preserve"> within 2 days of the receipt of the statement or else </w:t>
      </w:r>
      <w:r>
        <w:rPr>
          <w:color w:val="000000"/>
        </w:rPr>
        <w:t>NCL</w:t>
      </w:r>
      <w:r w:rsidRPr="00BB501D">
        <w:rPr>
          <w:color w:val="000000"/>
        </w:rPr>
        <w:t xml:space="preserve"> shall assume the balances to be correct. </w:t>
      </w:r>
    </w:p>
    <w:p w14:paraId="7F8941F6" w14:textId="77777777" w:rsidR="00383CF1" w:rsidRPr="00BB501D" w:rsidRDefault="00383CF1" w:rsidP="00383CF1">
      <w:pPr>
        <w:jc w:val="both"/>
        <w:rPr>
          <w:b/>
          <w:color w:val="000000"/>
        </w:rPr>
      </w:pPr>
    </w:p>
    <w:p w14:paraId="4FB46A02"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 xml:space="preserve">The Constituent shall pay the charges as may be intimated to the Constituent by </w:t>
      </w:r>
      <w:r>
        <w:rPr>
          <w:color w:val="000000"/>
        </w:rPr>
        <w:t>NCL</w:t>
      </w:r>
      <w:r w:rsidRPr="00BB501D">
        <w:rPr>
          <w:color w:val="000000"/>
        </w:rPr>
        <w:t xml:space="preserve"> from time to time for the opening and maintenance of the SGL Sub Account.</w:t>
      </w:r>
    </w:p>
    <w:p w14:paraId="5753C171" w14:textId="77777777" w:rsidR="00383CF1" w:rsidRPr="00BB501D" w:rsidRDefault="00383CF1" w:rsidP="00383CF1">
      <w:pPr>
        <w:jc w:val="both"/>
        <w:rPr>
          <w:b/>
          <w:color w:val="000000"/>
        </w:rPr>
      </w:pPr>
    </w:p>
    <w:p w14:paraId="4330E969"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 xml:space="preserve">On the failure of the Constituent to pay the charges within the prescribed time </w:t>
      </w:r>
      <w:r>
        <w:rPr>
          <w:color w:val="000000"/>
        </w:rPr>
        <w:t>NCL</w:t>
      </w:r>
      <w:r w:rsidRPr="00BB501D">
        <w:rPr>
          <w:color w:val="000000"/>
        </w:rPr>
        <w:t xml:space="preserve"> shall debit the same from Constituent’s Clearing Bank account.</w:t>
      </w:r>
    </w:p>
    <w:p w14:paraId="4677476C" w14:textId="77777777" w:rsidR="00383CF1" w:rsidRPr="00BB501D" w:rsidRDefault="00383CF1" w:rsidP="00383CF1">
      <w:pPr>
        <w:jc w:val="both"/>
        <w:rPr>
          <w:b/>
          <w:color w:val="000000"/>
        </w:rPr>
      </w:pPr>
    </w:p>
    <w:p w14:paraId="68FBD1C0" w14:textId="77777777" w:rsidR="00383CF1" w:rsidRPr="00BB501D" w:rsidRDefault="00383CF1" w:rsidP="00383CF1">
      <w:pPr>
        <w:numPr>
          <w:ilvl w:val="0"/>
          <w:numId w:val="3"/>
        </w:numPr>
        <w:tabs>
          <w:tab w:val="num" w:pos="360"/>
        </w:tabs>
        <w:ind w:left="720" w:hanging="720"/>
        <w:jc w:val="both"/>
        <w:rPr>
          <w:color w:val="000000"/>
        </w:rPr>
      </w:pPr>
      <w:r>
        <w:rPr>
          <w:color w:val="000000"/>
        </w:rPr>
        <w:t>NCL</w:t>
      </w:r>
      <w:r w:rsidRPr="00BB501D">
        <w:rPr>
          <w:color w:val="000000"/>
        </w:rPr>
        <w:t xml:space="preserve"> shall be bound by any instruction or direction it receives </w:t>
      </w:r>
      <w:proofErr w:type="gramStart"/>
      <w:r w:rsidRPr="00BB501D">
        <w:rPr>
          <w:color w:val="000000"/>
        </w:rPr>
        <w:t>with regard to</w:t>
      </w:r>
      <w:proofErr w:type="gramEnd"/>
      <w:r w:rsidRPr="00BB501D">
        <w:rPr>
          <w:color w:val="000000"/>
        </w:rPr>
        <w:t xml:space="preserve"> operation of the SGL Account or SGL Sub Account from any regulatory, judicial or any other competent authority (s) and the opening and maintenance of the SGL Account shall be </w:t>
      </w:r>
      <w:r w:rsidRPr="00BB501D">
        <w:rPr>
          <w:color w:val="000000"/>
        </w:rPr>
        <w:lastRenderedPageBreak/>
        <w:t>subject to the provisions of the Government Securities Act, 2006 and the Regulations made thereunder.</w:t>
      </w:r>
    </w:p>
    <w:p w14:paraId="1FAA9296" w14:textId="77777777" w:rsidR="00383CF1" w:rsidRPr="00BB501D" w:rsidRDefault="00383CF1" w:rsidP="00383CF1">
      <w:pPr>
        <w:jc w:val="both"/>
        <w:rPr>
          <w:color w:val="000000"/>
        </w:rPr>
      </w:pPr>
    </w:p>
    <w:p w14:paraId="6DC6442E" w14:textId="77777777" w:rsidR="00383CF1" w:rsidRPr="00BB501D" w:rsidRDefault="00383CF1" w:rsidP="00383CF1">
      <w:pPr>
        <w:numPr>
          <w:ilvl w:val="0"/>
          <w:numId w:val="3"/>
        </w:numPr>
        <w:tabs>
          <w:tab w:val="num" w:pos="360"/>
        </w:tabs>
        <w:ind w:left="720" w:hanging="720"/>
        <w:jc w:val="both"/>
        <w:rPr>
          <w:color w:val="000000"/>
        </w:rPr>
      </w:pPr>
      <w:r>
        <w:rPr>
          <w:color w:val="000000"/>
        </w:rPr>
        <w:t>NCL</w:t>
      </w:r>
      <w:r w:rsidRPr="00BB501D">
        <w:rPr>
          <w:color w:val="000000"/>
        </w:rPr>
        <w:t xml:space="preserve"> shall have the right to give any information to any regulatory, judicial and/or any other competent authority whenever so required in respect of the dealings and the SGL Sub Account of the Constituent.</w:t>
      </w:r>
    </w:p>
    <w:p w14:paraId="6A3281AF" w14:textId="77777777" w:rsidR="00383CF1" w:rsidRPr="00BB501D" w:rsidRDefault="00383CF1" w:rsidP="00383CF1">
      <w:pPr>
        <w:jc w:val="both"/>
        <w:rPr>
          <w:b/>
          <w:color w:val="000000"/>
        </w:rPr>
      </w:pPr>
    </w:p>
    <w:p w14:paraId="2EA602D9"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 xml:space="preserve">The Constituent </w:t>
      </w:r>
      <w:proofErr w:type="spellStart"/>
      <w:r w:rsidRPr="00BB501D">
        <w:rPr>
          <w:color w:val="000000"/>
        </w:rPr>
        <w:t>authorises</w:t>
      </w:r>
      <w:proofErr w:type="spellEnd"/>
      <w:r w:rsidRPr="00BB501D">
        <w:rPr>
          <w:color w:val="000000"/>
        </w:rPr>
        <w:t xml:space="preserve"> </w:t>
      </w:r>
      <w:r>
        <w:rPr>
          <w:color w:val="000000"/>
        </w:rPr>
        <w:t>NCL</w:t>
      </w:r>
      <w:r w:rsidRPr="00BB501D">
        <w:rPr>
          <w:color w:val="000000"/>
        </w:rPr>
        <w:t xml:space="preserve"> to execute/submit all deeds /agreements/drafts /forms </w:t>
      </w:r>
      <w:proofErr w:type="spellStart"/>
      <w:r w:rsidRPr="00BB501D">
        <w:rPr>
          <w:color w:val="000000"/>
        </w:rPr>
        <w:t>etc</w:t>
      </w:r>
      <w:proofErr w:type="spellEnd"/>
      <w:r w:rsidRPr="00BB501D">
        <w:rPr>
          <w:color w:val="000000"/>
        </w:rPr>
        <w:t xml:space="preserve"> which </w:t>
      </w:r>
      <w:r>
        <w:rPr>
          <w:color w:val="000000"/>
        </w:rPr>
        <w:t>NCL</w:t>
      </w:r>
      <w:r w:rsidRPr="00BB501D">
        <w:rPr>
          <w:color w:val="000000"/>
        </w:rPr>
        <w:t xml:space="preserve"> may have to enter into/submit on behalf of the Constituent for the proper functioning of the SGL Account or SGL Sub Account.</w:t>
      </w:r>
    </w:p>
    <w:p w14:paraId="31C8045E" w14:textId="77777777" w:rsidR="00383CF1" w:rsidRPr="00BB501D" w:rsidRDefault="00383CF1" w:rsidP="00383CF1">
      <w:pPr>
        <w:jc w:val="both"/>
        <w:rPr>
          <w:color w:val="000000"/>
        </w:rPr>
      </w:pPr>
    </w:p>
    <w:p w14:paraId="615C5334"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 xml:space="preserve">The Constituent hereby requests and fully </w:t>
      </w:r>
      <w:proofErr w:type="spellStart"/>
      <w:r w:rsidRPr="00BB501D">
        <w:rPr>
          <w:color w:val="000000"/>
        </w:rPr>
        <w:t>authorises</w:t>
      </w:r>
      <w:proofErr w:type="spellEnd"/>
      <w:r w:rsidRPr="00BB501D">
        <w:rPr>
          <w:color w:val="000000"/>
        </w:rPr>
        <w:t xml:space="preserve"> </w:t>
      </w:r>
      <w:r>
        <w:rPr>
          <w:color w:val="000000"/>
        </w:rPr>
        <w:t>NCL</w:t>
      </w:r>
      <w:r w:rsidRPr="00BB501D">
        <w:rPr>
          <w:color w:val="000000"/>
        </w:rPr>
        <w:t xml:space="preserve"> to execute any indemnity, declarations, undertakings and any other deed or documents as desired by RBI or any other competent authority in respect of </w:t>
      </w:r>
      <w:proofErr w:type="spellStart"/>
      <w:r w:rsidRPr="00BB501D">
        <w:rPr>
          <w:color w:val="000000"/>
        </w:rPr>
        <w:t>dematerialisation</w:t>
      </w:r>
      <w:proofErr w:type="spellEnd"/>
      <w:r w:rsidRPr="00BB501D">
        <w:rPr>
          <w:color w:val="000000"/>
        </w:rPr>
        <w:t xml:space="preserve">, </w:t>
      </w:r>
      <w:proofErr w:type="spellStart"/>
      <w:r w:rsidRPr="00BB501D">
        <w:rPr>
          <w:color w:val="000000"/>
        </w:rPr>
        <w:t>rematerialisation</w:t>
      </w:r>
      <w:proofErr w:type="spellEnd"/>
      <w:r w:rsidRPr="00BB501D">
        <w:rPr>
          <w:color w:val="000000"/>
        </w:rPr>
        <w:t xml:space="preserve">, settlement, corporate action or any other action in connection with the SGL Sub Account. </w:t>
      </w:r>
    </w:p>
    <w:p w14:paraId="2DF0CF8D" w14:textId="77777777" w:rsidR="00383CF1" w:rsidRPr="00BB501D" w:rsidRDefault="00383CF1" w:rsidP="00383CF1">
      <w:pPr>
        <w:jc w:val="both"/>
        <w:rPr>
          <w:color w:val="000000"/>
        </w:rPr>
      </w:pPr>
    </w:p>
    <w:p w14:paraId="0A573003"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 xml:space="preserve">The Constituent shall execute in </w:t>
      </w:r>
      <w:proofErr w:type="spellStart"/>
      <w:r w:rsidRPr="00BB501D">
        <w:rPr>
          <w:color w:val="000000"/>
        </w:rPr>
        <w:t>favour</w:t>
      </w:r>
      <w:proofErr w:type="spellEnd"/>
      <w:r w:rsidRPr="00BB501D">
        <w:rPr>
          <w:color w:val="000000"/>
        </w:rPr>
        <w:t xml:space="preserve"> of </w:t>
      </w:r>
      <w:r>
        <w:rPr>
          <w:color w:val="000000"/>
        </w:rPr>
        <w:t>NCL</w:t>
      </w:r>
      <w:r w:rsidRPr="00BB501D">
        <w:rPr>
          <w:color w:val="000000"/>
        </w:rPr>
        <w:t xml:space="preserve"> such declarations, undertakings and any deeds including power of attorney as may be required by </w:t>
      </w:r>
      <w:r>
        <w:rPr>
          <w:color w:val="000000"/>
        </w:rPr>
        <w:t>NCL</w:t>
      </w:r>
      <w:r w:rsidRPr="00BB501D">
        <w:rPr>
          <w:color w:val="000000"/>
        </w:rPr>
        <w:t xml:space="preserve"> from time to time.</w:t>
      </w:r>
    </w:p>
    <w:p w14:paraId="4DD9AA1F" w14:textId="77777777" w:rsidR="00383CF1" w:rsidRPr="00BB501D" w:rsidRDefault="00383CF1" w:rsidP="00383CF1">
      <w:pPr>
        <w:jc w:val="both"/>
        <w:rPr>
          <w:color w:val="000000"/>
        </w:rPr>
      </w:pPr>
    </w:p>
    <w:p w14:paraId="32604898" w14:textId="77777777" w:rsidR="00383CF1" w:rsidRPr="00BB501D" w:rsidRDefault="00383CF1" w:rsidP="00383CF1">
      <w:pPr>
        <w:numPr>
          <w:ilvl w:val="0"/>
          <w:numId w:val="3"/>
        </w:numPr>
        <w:tabs>
          <w:tab w:val="num" w:pos="360"/>
        </w:tabs>
        <w:ind w:left="720" w:hanging="720"/>
        <w:jc w:val="both"/>
        <w:rPr>
          <w:color w:val="000000"/>
        </w:rPr>
      </w:pPr>
      <w:proofErr w:type="spellStart"/>
      <w:r w:rsidRPr="00BB501D">
        <w:rPr>
          <w:color w:val="000000"/>
        </w:rPr>
        <w:t>Incase</w:t>
      </w:r>
      <w:proofErr w:type="spellEnd"/>
      <w:r w:rsidRPr="00BB501D">
        <w:rPr>
          <w:color w:val="000000"/>
        </w:rPr>
        <w:t xml:space="preserve"> of any dispute/difference between </w:t>
      </w:r>
      <w:r>
        <w:rPr>
          <w:color w:val="000000"/>
        </w:rPr>
        <w:t>NCL</w:t>
      </w:r>
      <w:r w:rsidRPr="00BB501D">
        <w:rPr>
          <w:color w:val="000000"/>
        </w:rPr>
        <w:t xml:space="preserve"> and the Constituent with respect to this agreement, the same shall be settled as per the procedure prescribed by </w:t>
      </w:r>
      <w:r>
        <w:rPr>
          <w:color w:val="000000"/>
        </w:rPr>
        <w:t>NCL</w:t>
      </w:r>
      <w:r w:rsidRPr="00BB501D">
        <w:rPr>
          <w:color w:val="000000"/>
        </w:rPr>
        <w:t xml:space="preserve"> in its Circulars issued from time to time. </w:t>
      </w:r>
    </w:p>
    <w:p w14:paraId="32CDC730" w14:textId="77777777" w:rsidR="00383CF1" w:rsidRPr="00BB501D" w:rsidRDefault="00383CF1" w:rsidP="00383CF1">
      <w:pPr>
        <w:rPr>
          <w:color w:val="000000"/>
        </w:rPr>
      </w:pPr>
    </w:p>
    <w:p w14:paraId="1B5F395B"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 xml:space="preserve">In case a Constituent maintains an account with any bank designated as a Clearing Bank by </w:t>
      </w:r>
      <w:r>
        <w:rPr>
          <w:color w:val="000000"/>
        </w:rPr>
        <w:t>NCL</w:t>
      </w:r>
      <w:r w:rsidRPr="00BB501D">
        <w:rPr>
          <w:color w:val="000000"/>
        </w:rPr>
        <w:t xml:space="preserve">, then the Constituent shall </w:t>
      </w:r>
      <w:proofErr w:type="spellStart"/>
      <w:r w:rsidRPr="00BB501D">
        <w:rPr>
          <w:color w:val="000000"/>
        </w:rPr>
        <w:t>authorise</w:t>
      </w:r>
      <w:proofErr w:type="spellEnd"/>
      <w:r w:rsidRPr="00BB501D">
        <w:rPr>
          <w:color w:val="000000"/>
        </w:rPr>
        <w:t xml:space="preserve"> </w:t>
      </w:r>
      <w:r>
        <w:rPr>
          <w:color w:val="000000"/>
        </w:rPr>
        <w:t>NCL</w:t>
      </w:r>
      <w:r w:rsidRPr="00BB501D">
        <w:rPr>
          <w:color w:val="000000"/>
        </w:rPr>
        <w:t xml:space="preserve"> to debit and/or </w:t>
      </w:r>
      <w:proofErr w:type="gramStart"/>
      <w:r w:rsidRPr="00BB501D">
        <w:rPr>
          <w:color w:val="000000"/>
        </w:rPr>
        <w:t>it’s</w:t>
      </w:r>
      <w:proofErr w:type="gramEnd"/>
      <w:r w:rsidRPr="00BB501D">
        <w:rPr>
          <w:color w:val="000000"/>
        </w:rPr>
        <w:t xml:space="preserve"> funds account maintained with the designated Clearing Banks(s) from time to time for the operations in the SGL Sub Account or recovery or any other amounts due to it as and when required.</w:t>
      </w:r>
    </w:p>
    <w:p w14:paraId="2F282563" w14:textId="77777777" w:rsidR="00383CF1" w:rsidRPr="00BB501D" w:rsidRDefault="00383CF1" w:rsidP="00383CF1">
      <w:pPr>
        <w:jc w:val="both"/>
        <w:rPr>
          <w:color w:val="000000"/>
        </w:rPr>
      </w:pPr>
    </w:p>
    <w:p w14:paraId="322F0BD3" w14:textId="77777777" w:rsidR="00383CF1" w:rsidRPr="00BB501D" w:rsidRDefault="00383CF1" w:rsidP="00383CF1">
      <w:pPr>
        <w:numPr>
          <w:ilvl w:val="0"/>
          <w:numId w:val="3"/>
        </w:numPr>
        <w:tabs>
          <w:tab w:val="num" w:pos="360"/>
        </w:tabs>
        <w:ind w:left="720" w:hanging="720"/>
        <w:jc w:val="both"/>
        <w:rPr>
          <w:color w:val="000000"/>
        </w:rPr>
      </w:pPr>
      <w:r w:rsidRPr="00BB501D">
        <w:rPr>
          <w:color w:val="000000"/>
        </w:rPr>
        <w:t xml:space="preserve">While handling, corporate actions, </w:t>
      </w:r>
      <w:r>
        <w:rPr>
          <w:color w:val="000000"/>
        </w:rPr>
        <w:t>NCL</w:t>
      </w:r>
      <w:r w:rsidRPr="00BB501D">
        <w:rPr>
          <w:color w:val="000000"/>
        </w:rPr>
        <w:t xml:space="preserve"> shall provide credit for government securities / funds to the Constituent, </w:t>
      </w:r>
      <w:proofErr w:type="gramStart"/>
      <w:r w:rsidRPr="00BB501D">
        <w:rPr>
          <w:color w:val="000000"/>
        </w:rPr>
        <w:t>as the case may be only</w:t>
      </w:r>
      <w:proofErr w:type="gramEnd"/>
      <w:r w:rsidRPr="00BB501D">
        <w:rPr>
          <w:color w:val="000000"/>
        </w:rPr>
        <w:t xml:space="preserve"> after the same has been provided by RBI in the SGL Account of </w:t>
      </w:r>
      <w:r>
        <w:rPr>
          <w:color w:val="000000"/>
        </w:rPr>
        <w:t>NCL</w:t>
      </w:r>
      <w:r w:rsidRPr="00BB501D">
        <w:rPr>
          <w:color w:val="000000"/>
        </w:rPr>
        <w:t>.</w:t>
      </w:r>
    </w:p>
    <w:p w14:paraId="51E574B8" w14:textId="77777777" w:rsidR="00383CF1" w:rsidRPr="00BB501D" w:rsidRDefault="00383CF1" w:rsidP="00383CF1">
      <w:pPr>
        <w:jc w:val="both"/>
        <w:rPr>
          <w:color w:val="000000"/>
        </w:rPr>
      </w:pPr>
    </w:p>
    <w:p w14:paraId="6ABB933A" w14:textId="77777777" w:rsidR="00383CF1" w:rsidRPr="00BB501D" w:rsidRDefault="00383CF1" w:rsidP="00383CF1">
      <w:pPr>
        <w:jc w:val="both"/>
        <w:rPr>
          <w:color w:val="000000"/>
        </w:rPr>
      </w:pPr>
    </w:p>
    <w:p w14:paraId="390C16DA" w14:textId="77777777" w:rsidR="00383CF1" w:rsidRPr="00BB501D" w:rsidRDefault="00383CF1" w:rsidP="00383CF1">
      <w:pPr>
        <w:numPr>
          <w:ilvl w:val="0"/>
          <w:numId w:val="1"/>
        </w:numPr>
        <w:tabs>
          <w:tab w:val="num" w:pos="540"/>
        </w:tabs>
        <w:ind w:hanging="900"/>
        <w:jc w:val="both"/>
        <w:rPr>
          <w:b/>
          <w:color w:val="000000"/>
        </w:rPr>
      </w:pPr>
      <w:r w:rsidRPr="00BB501D">
        <w:rPr>
          <w:b/>
          <w:color w:val="000000"/>
        </w:rPr>
        <w:t>Liabilities and Indemnities</w:t>
      </w:r>
    </w:p>
    <w:p w14:paraId="1FD56990" w14:textId="77777777" w:rsidR="00383CF1" w:rsidRPr="00BB501D" w:rsidRDefault="00383CF1" w:rsidP="00383CF1">
      <w:pPr>
        <w:jc w:val="both"/>
        <w:rPr>
          <w:b/>
          <w:color w:val="000000"/>
        </w:rPr>
      </w:pPr>
    </w:p>
    <w:p w14:paraId="593F6DE9" w14:textId="77777777" w:rsidR="00383CF1" w:rsidRPr="00BB501D" w:rsidRDefault="00383CF1" w:rsidP="00383CF1">
      <w:pPr>
        <w:numPr>
          <w:ilvl w:val="1"/>
          <w:numId w:val="1"/>
        </w:numPr>
        <w:ind w:hanging="720"/>
        <w:jc w:val="both"/>
        <w:rPr>
          <w:color w:val="000000"/>
        </w:rPr>
      </w:pPr>
      <w:r w:rsidRPr="00BB501D">
        <w:rPr>
          <w:color w:val="000000"/>
        </w:rPr>
        <w:t xml:space="preserve">The Constituent shall indemnify and keep </w:t>
      </w:r>
      <w:r>
        <w:rPr>
          <w:color w:val="000000"/>
        </w:rPr>
        <w:t>NCL</w:t>
      </w:r>
      <w:r w:rsidRPr="00BB501D">
        <w:rPr>
          <w:color w:val="000000"/>
        </w:rPr>
        <w:t xml:space="preserve"> indemnified and save harmless at all times from and against all claims, actions, demands, proceedings, costs, charges, expenses whatsoever which may be caused or caused to be incurred, suffered or paid by the </w:t>
      </w:r>
      <w:r>
        <w:rPr>
          <w:color w:val="000000"/>
        </w:rPr>
        <w:t>NCL</w:t>
      </w:r>
      <w:r w:rsidRPr="00BB501D">
        <w:rPr>
          <w:color w:val="000000"/>
        </w:rPr>
        <w:t xml:space="preserve"> for any act of commission or omission </w:t>
      </w:r>
      <w:proofErr w:type="gramStart"/>
      <w:r w:rsidRPr="00BB501D">
        <w:rPr>
          <w:color w:val="000000"/>
        </w:rPr>
        <w:t>by  Constituent</w:t>
      </w:r>
      <w:proofErr w:type="gramEnd"/>
      <w:r w:rsidRPr="00BB501D">
        <w:rPr>
          <w:color w:val="000000"/>
        </w:rPr>
        <w:t xml:space="preserve">  pursuant to this agreement.</w:t>
      </w:r>
    </w:p>
    <w:p w14:paraId="7168711D" w14:textId="77777777" w:rsidR="00383CF1" w:rsidRPr="00BB501D" w:rsidRDefault="00383CF1" w:rsidP="00383CF1">
      <w:pPr>
        <w:tabs>
          <w:tab w:val="num" w:pos="720"/>
        </w:tabs>
        <w:ind w:left="720" w:hanging="720"/>
        <w:jc w:val="both"/>
        <w:rPr>
          <w:color w:val="000000"/>
        </w:rPr>
      </w:pPr>
    </w:p>
    <w:p w14:paraId="4EC84DD6" w14:textId="77777777" w:rsidR="00383CF1" w:rsidRPr="00BB501D" w:rsidRDefault="00383CF1" w:rsidP="00383CF1">
      <w:pPr>
        <w:numPr>
          <w:ilvl w:val="1"/>
          <w:numId w:val="1"/>
        </w:numPr>
        <w:ind w:hanging="720"/>
        <w:jc w:val="both"/>
        <w:rPr>
          <w:color w:val="000000"/>
        </w:rPr>
      </w:pPr>
      <w:r>
        <w:rPr>
          <w:color w:val="000000"/>
        </w:rPr>
        <w:t>NCL</w:t>
      </w:r>
      <w:r w:rsidRPr="00BB501D">
        <w:rPr>
          <w:color w:val="000000"/>
        </w:rPr>
        <w:t xml:space="preserve"> shall have a lien or charge on all the government securities in the SGL Sub Account of the Constituent for all the monies payable and due to </w:t>
      </w:r>
      <w:r>
        <w:rPr>
          <w:color w:val="000000"/>
        </w:rPr>
        <w:t>NCL</w:t>
      </w:r>
      <w:r w:rsidRPr="00BB501D">
        <w:rPr>
          <w:color w:val="000000"/>
        </w:rPr>
        <w:t xml:space="preserve"> under this agreement.</w:t>
      </w:r>
    </w:p>
    <w:p w14:paraId="755EDE96" w14:textId="77777777" w:rsidR="00383CF1" w:rsidRPr="00BB501D" w:rsidRDefault="00383CF1" w:rsidP="00383CF1">
      <w:pPr>
        <w:jc w:val="both"/>
        <w:rPr>
          <w:b/>
          <w:color w:val="000000"/>
        </w:rPr>
      </w:pPr>
    </w:p>
    <w:p w14:paraId="538E0425" w14:textId="77777777" w:rsidR="00383CF1" w:rsidRPr="00BB501D" w:rsidRDefault="00383CF1" w:rsidP="00383CF1">
      <w:pPr>
        <w:jc w:val="both"/>
        <w:rPr>
          <w:b/>
          <w:color w:val="000000"/>
        </w:rPr>
      </w:pPr>
    </w:p>
    <w:p w14:paraId="0A41EFC3" w14:textId="77777777" w:rsidR="00383CF1" w:rsidRPr="00BB501D" w:rsidRDefault="00383CF1" w:rsidP="00383CF1">
      <w:pPr>
        <w:jc w:val="both"/>
        <w:rPr>
          <w:b/>
          <w:color w:val="000000"/>
        </w:rPr>
      </w:pPr>
      <w:r w:rsidRPr="00BB501D">
        <w:rPr>
          <w:b/>
          <w:color w:val="000000"/>
        </w:rPr>
        <w:t>3.      Termination of the Agreement:</w:t>
      </w:r>
    </w:p>
    <w:p w14:paraId="1E97CA08" w14:textId="77777777" w:rsidR="00383CF1" w:rsidRPr="00BB501D" w:rsidRDefault="00383CF1" w:rsidP="00383CF1">
      <w:pPr>
        <w:jc w:val="both"/>
        <w:rPr>
          <w:b/>
          <w:color w:val="000000"/>
        </w:rPr>
      </w:pPr>
    </w:p>
    <w:p w14:paraId="402E659B" w14:textId="77777777" w:rsidR="00383CF1" w:rsidRPr="00BB501D" w:rsidRDefault="00383CF1" w:rsidP="00383CF1">
      <w:pPr>
        <w:ind w:left="720" w:hanging="720"/>
        <w:jc w:val="both"/>
        <w:rPr>
          <w:color w:val="000000"/>
        </w:rPr>
      </w:pPr>
      <w:r w:rsidRPr="00BB501D">
        <w:rPr>
          <w:b/>
          <w:color w:val="000000"/>
        </w:rPr>
        <w:lastRenderedPageBreak/>
        <w:t>3.1</w:t>
      </w:r>
      <w:r w:rsidRPr="00BB501D">
        <w:rPr>
          <w:color w:val="000000"/>
        </w:rPr>
        <w:tab/>
        <w:t xml:space="preserve">This Agreement will terminate automatically if the </w:t>
      </w:r>
      <w:r>
        <w:rPr>
          <w:color w:val="000000"/>
        </w:rPr>
        <w:t>NCL</w:t>
      </w:r>
      <w:r w:rsidRPr="00BB501D">
        <w:rPr>
          <w:color w:val="000000"/>
        </w:rPr>
        <w:t xml:space="preserve"> or the Constituent are declared insolvent or any order of the court like liquidation, execution, distress or any other orders results in the assets/property of the </w:t>
      </w:r>
      <w:proofErr w:type="gramStart"/>
      <w:r>
        <w:rPr>
          <w:color w:val="000000"/>
        </w:rPr>
        <w:t>NCL</w:t>
      </w:r>
      <w:proofErr w:type="gramEnd"/>
      <w:r w:rsidRPr="00BB501D">
        <w:rPr>
          <w:color w:val="000000"/>
        </w:rPr>
        <w:t xml:space="preserve"> or the Constituent being attached or any Receiver appointed for the assets. </w:t>
      </w:r>
    </w:p>
    <w:p w14:paraId="4EFCB6D6" w14:textId="77777777" w:rsidR="00383CF1" w:rsidRPr="00BB501D" w:rsidRDefault="00383CF1" w:rsidP="00383CF1">
      <w:pPr>
        <w:jc w:val="both"/>
        <w:rPr>
          <w:color w:val="000000"/>
        </w:rPr>
      </w:pPr>
    </w:p>
    <w:p w14:paraId="4FFF0D2D" w14:textId="77777777" w:rsidR="00383CF1" w:rsidRPr="00BB501D" w:rsidRDefault="00383CF1" w:rsidP="00383CF1">
      <w:pPr>
        <w:ind w:left="720" w:hanging="720"/>
        <w:jc w:val="both"/>
        <w:rPr>
          <w:color w:val="000000"/>
        </w:rPr>
      </w:pPr>
      <w:r w:rsidRPr="00BB501D">
        <w:rPr>
          <w:b/>
          <w:color w:val="000000"/>
        </w:rPr>
        <w:t>3.2</w:t>
      </w:r>
      <w:r w:rsidRPr="00BB501D">
        <w:rPr>
          <w:color w:val="000000"/>
        </w:rPr>
        <w:tab/>
        <w:t>This Agreement will terminate automatically if any arrangement is made by either party with their creditors.</w:t>
      </w:r>
    </w:p>
    <w:p w14:paraId="06A96499" w14:textId="77777777" w:rsidR="00383CF1" w:rsidRPr="00BB501D" w:rsidRDefault="00383CF1" w:rsidP="00383CF1">
      <w:pPr>
        <w:jc w:val="both"/>
        <w:rPr>
          <w:color w:val="000000"/>
        </w:rPr>
      </w:pPr>
      <w:r w:rsidRPr="00BB501D">
        <w:rPr>
          <w:color w:val="000000"/>
        </w:rPr>
        <w:t xml:space="preserve">   </w:t>
      </w:r>
    </w:p>
    <w:p w14:paraId="2B84EE9E" w14:textId="77777777" w:rsidR="00383CF1" w:rsidRPr="00BB501D" w:rsidRDefault="00383CF1" w:rsidP="00383CF1">
      <w:pPr>
        <w:ind w:left="720" w:hanging="720"/>
        <w:jc w:val="both"/>
        <w:rPr>
          <w:color w:val="000000"/>
        </w:rPr>
      </w:pPr>
      <w:r w:rsidRPr="00BB501D">
        <w:rPr>
          <w:b/>
          <w:color w:val="000000"/>
        </w:rPr>
        <w:t>3.3</w:t>
      </w:r>
      <w:r w:rsidRPr="00BB501D">
        <w:rPr>
          <w:color w:val="000000"/>
        </w:rPr>
        <w:tab/>
        <w:t xml:space="preserve">This Agreement may be terminated if either party fails to comply with or deviates from any of the declarations, representations, undertakings which they had originally agreed to do so. Either party shall give the other party 15 days written notice for termination of this agreement. </w:t>
      </w:r>
      <w:proofErr w:type="gramStart"/>
      <w:r w:rsidRPr="00BB501D">
        <w:rPr>
          <w:color w:val="000000"/>
        </w:rPr>
        <w:t>However</w:t>
      </w:r>
      <w:proofErr w:type="gramEnd"/>
      <w:r w:rsidRPr="00BB501D">
        <w:rPr>
          <w:color w:val="000000"/>
        </w:rPr>
        <w:t xml:space="preserve"> if the breach/default can be rectified then the </w:t>
      </w:r>
      <w:proofErr w:type="spellStart"/>
      <w:r w:rsidRPr="00BB501D">
        <w:rPr>
          <w:color w:val="000000"/>
        </w:rPr>
        <w:t>non breaching</w:t>
      </w:r>
      <w:proofErr w:type="spellEnd"/>
      <w:r w:rsidRPr="00BB501D">
        <w:rPr>
          <w:color w:val="000000"/>
        </w:rPr>
        <w:t xml:space="preserve"> party should give the other party </w:t>
      </w:r>
      <w:proofErr w:type="spellStart"/>
      <w:r w:rsidRPr="00BB501D">
        <w:rPr>
          <w:color w:val="000000"/>
        </w:rPr>
        <w:t>atleast</w:t>
      </w:r>
      <w:proofErr w:type="spellEnd"/>
      <w:r w:rsidRPr="00BB501D">
        <w:rPr>
          <w:color w:val="000000"/>
        </w:rPr>
        <w:t xml:space="preserve"> 30 days to rectify the same.</w:t>
      </w:r>
    </w:p>
    <w:p w14:paraId="25C2DD3F" w14:textId="77777777" w:rsidR="00383CF1" w:rsidRPr="00BB501D" w:rsidRDefault="00383CF1" w:rsidP="00383CF1">
      <w:pPr>
        <w:jc w:val="both"/>
        <w:rPr>
          <w:color w:val="000000"/>
        </w:rPr>
      </w:pPr>
    </w:p>
    <w:p w14:paraId="3FAE760E" w14:textId="77777777" w:rsidR="00383CF1" w:rsidRPr="00BB501D" w:rsidRDefault="00383CF1" w:rsidP="00383CF1">
      <w:pPr>
        <w:ind w:left="720" w:hanging="720"/>
        <w:jc w:val="both"/>
        <w:rPr>
          <w:color w:val="000000"/>
        </w:rPr>
      </w:pPr>
      <w:r w:rsidRPr="00BB501D">
        <w:rPr>
          <w:b/>
          <w:color w:val="000000"/>
        </w:rPr>
        <w:t>3.4</w:t>
      </w:r>
      <w:r w:rsidRPr="00BB501D">
        <w:rPr>
          <w:color w:val="000000"/>
        </w:rPr>
        <w:tab/>
        <w:t xml:space="preserve">The Agreement can be terminated by any of the parties giving a notice in writing for any reason/s other than the reasons stated above. Such notice needs to be given </w:t>
      </w:r>
      <w:proofErr w:type="spellStart"/>
      <w:r w:rsidRPr="00BB501D">
        <w:rPr>
          <w:color w:val="000000"/>
        </w:rPr>
        <w:t>atleast</w:t>
      </w:r>
      <w:proofErr w:type="spellEnd"/>
      <w:r w:rsidRPr="00BB501D">
        <w:rPr>
          <w:color w:val="000000"/>
        </w:rPr>
        <w:t xml:space="preserve"> 2 months in advance. </w:t>
      </w:r>
    </w:p>
    <w:p w14:paraId="22F3CB75" w14:textId="77777777" w:rsidR="00383CF1" w:rsidRPr="00BB501D" w:rsidRDefault="00383CF1" w:rsidP="00383CF1">
      <w:pPr>
        <w:jc w:val="both"/>
        <w:rPr>
          <w:color w:val="000000"/>
        </w:rPr>
      </w:pPr>
    </w:p>
    <w:p w14:paraId="7DD10F35" w14:textId="77777777" w:rsidR="00383CF1" w:rsidRPr="00BB501D" w:rsidRDefault="00383CF1" w:rsidP="00383CF1">
      <w:pPr>
        <w:ind w:left="720" w:hanging="720"/>
        <w:jc w:val="both"/>
        <w:rPr>
          <w:color w:val="000000"/>
        </w:rPr>
      </w:pPr>
      <w:r w:rsidRPr="00BB501D">
        <w:rPr>
          <w:b/>
          <w:color w:val="000000"/>
        </w:rPr>
        <w:t>3.5</w:t>
      </w:r>
      <w:r w:rsidRPr="00BB501D">
        <w:rPr>
          <w:color w:val="000000"/>
        </w:rPr>
        <w:tab/>
        <w:t xml:space="preserve">Upon termination of the agreement and subject to the constituent paying all sum dues from it to the </w:t>
      </w:r>
      <w:r>
        <w:rPr>
          <w:color w:val="000000"/>
        </w:rPr>
        <w:t>NCL</w:t>
      </w:r>
      <w:r w:rsidRPr="00BB501D">
        <w:rPr>
          <w:color w:val="000000"/>
        </w:rPr>
        <w:t xml:space="preserve">, </w:t>
      </w:r>
      <w:r>
        <w:rPr>
          <w:color w:val="000000"/>
        </w:rPr>
        <w:t>NCL</w:t>
      </w:r>
      <w:r w:rsidRPr="00BB501D">
        <w:rPr>
          <w:color w:val="000000"/>
        </w:rPr>
        <w:t xml:space="preserve"> may arrange for transfer of government securities belonging to the Constituent, if the Constituent makes alternative arrangements for holding its government securities or in such other manner as may be specified by </w:t>
      </w:r>
      <w:r>
        <w:rPr>
          <w:color w:val="000000"/>
        </w:rPr>
        <w:t>NCL</w:t>
      </w:r>
      <w:r w:rsidRPr="00BB501D">
        <w:rPr>
          <w:color w:val="000000"/>
        </w:rPr>
        <w:t xml:space="preserve"> in its Circulars issued from time to time.</w:t>
      </w:r>
    </w:p>
    <w:p w14:paraId="58415DF0" w14:textId="77777777" w:rsidR="00383CF1" w:rsidRDefault="00383CF1" w:rsidP="00383CF1">
      <w:pPr>
        <w:ind w:left="720" w:hanging="720"/>
        <w:jc w:val="both"/>
        <w:rPr>
          <w:color w:val="000000"/>
        </w:rPr>
      </w:pPr>
    </w:p>
    <w:p w14:paraId="5EBD996D" w14:textId="77777777" w:rsidR="00383CF1" w:rsidRDefault="00383CF1" w:rsidP="00383CF1">
      <w:pPr>
        <w:ind w:left="720" w:hanging="720"/>
        <w:jc w:val="both"/>
        <w:rPr>
          <w:color w:val="000000"/>
        </w:rPr>
      </w:pPr>
    </w:p>
    <w:p w14:paraId="2AB3D140" w14:textId="77777777" w:rsidR="00383CF1" w:rsidRDefault="00383CF1" w:rsidP="00383CF1">
      <w:pPr>
        <w:ind w:left="720" w:hanging="720"/>
        <w:jc w:val="both"/>
        <w:rPr>
          <w:color w:val="000000"/>
        </w:rPr>
      </w:pPr>
    </w:p>
    <w:p w14:paraId="4F6F583E" w14:textId="77777777" w:rsidR="00383CF1" w:rsidRDefault="00383CF1" w:rsidP="00383CF1">
      <w:pPr>
        <w:ind w:left="720" w:hanging="720"/>
        <w:jc w:val="both"/>
        <w:rPr>
          <w:color w:val="000000"/>
        </w:rPr>
      </w:pPr>
    </w:p>
    <w:p w14:paraId="7D99341C" w14:textId="77777777" w:rsidR="00383CF1" w:rsidRPr="00BB501D" w:rsidRDefault="00383CF1" w:rsidP="00383CF1">
      <w:pPr>
        <w:ind w:left="720" w:hanging="720"/>
        <w:jc w:val="both"/>
        <w:rPr>
          <w:color w:val="000000"/>
        </w:rPr>
      </w:pPr>
    </w:p>
    <w:p w14:paraId="79712475" w14:textId="77777777" w:rsidR="00383CF1" w:rsidRPr="00BB501D" w:rsidRDefault="00383CF1" w:rsidP="00383CF1">
      <w:pPr>
        <w:numPr>
          <w:ilvl w:val="0"/>
          <w:numId w:val="2"/>
        </w:numPr>
        <w:ind w:left="283" w:hanging="283"/>
        <w:jc w:val="both"/>
        <w:rPr>
          <w:b/>
          <w:color w:val="000000"/>
        </w:rPr>
      </w:pPr>
      <w:r w:rsidRPr="00BB501D">
        <w:rPr>
          <w:b/>
          <w:color w:val="000000"/>
        </w:rPr>
        <w:t>Notice:</w:t>
      </w:r>
    </w:p>
    <w:p w14:paraId="04909A50" w14:textId="77777777" w:rsidR="00383CF1" w:rsidRPr="00BB501D" w:rsidRDefault="00383CF1" w:rsidP="00383CF1">
      <w:pPr>
        <w:ind w:left="283"/>
        <w:jc w:val="both"/>
        <w:rPr>
          <w:color w:val="000000"/>
        </w:rPr>
      </w:pPr>
    </w:p>
    <w:p w14:paraId="3A7CA1A4" w14:textId="77777777" w:rsidR="00383CF1" w:rsidRPr="00BB501D" w:rsidRDefault="00383CF1" w:rsidP="00383CF1">
      <w:pPr>
        <w:ind w:left="283"/>
        <w:jc w:val="both"/>
        <w:rPr>
          <w:b/>
          <w:color w:val="000000"/>
        </w:rPr>
      </w:pPr>
      <w:r w:rsidRPr="00BB501D">
        <w:rPr>
          <w:color w:val="000000"/>
        </w:rPr>
        <w:t>Any notice or communication to be given by either party to the other party shall be given by personal delivery, courier, registered post, fax to the designated address mentioned in this agreement.</w:t>
      </w:r>
    </w:p>
    <w:p w14:paraId="5A51DB5B" w14:textId="77777777" w:rsidR="00383CF1" w:rsidRPr="00BB501D" w:rsidRDefault="00383CF1" w:rsidP="00383CF1">
      <w:pPr>
        <w:jc w:val="both"/>
        <w:rPr>
          <w:b/>
          <w:color w:val="000000"/>
        </w:rPr>
      </w:pPr>
    </w:p>
    <w:p w14:paraId="1159168A" w14:textId="77777777" w:rsidR="00383CF1" w:rsidRPr="00BB501D" w:rsidRDefault="00383CF1" w:rsidP="00383CF1">
      <w:pPr>
        <w:numPr>
          <w:ilvl w:val="0"/>
          <w:numId w:val="2"/>
        </w:numPr>
        <w:ind w:left="283" w:hanging="283"/>
        <w:jc w:val="both"/>
        <w:rPr>
          <w:b/>
          <w:color w:val="000000"/>
        </w:rPr>
      </w:pPr>
      <w:r w:rsidRPr="00BB501D">
        <w:rPr>
          <w:b/>
          <w:color w:val="000000"/>
        </w:rPr>
        <w:t>Jurisdiction and Governing Law:</w:t>
      </w:r>
    </w:p>
    <w:p w14:paraId="21C275DD" w14:textId="77777777" w:rsidR="00383CF1" w:rsidRPr="00BB501D" w:rsidRDefault="00383CF1" w:rsidP="00383CF1">
      <w:pPr>
        <w:jc w:val="both"/>
        <w:rPr>
          <w:b/>
          <w:color w:val="000000"/>
        </w:rPr>
      </w:pPr>
    </w:p>
    <w:p w14:paraId="3C306EEF" w14:textId="77777777" w:rsidR="00383CF1" w:rsidRPr="00BB501D" w:rsidRDefault="00383CF1" w:rsidP="00383CF1">
      <w:pPr>
        <w:ind w:left="283"/>
        <w:jc w:val="both"/>
        <w:rPr>
          <w:b/>
          <w:color w:val="000000"/>
        </w:rPr>
      </w:pPr>
      <w:r w:rsidRPr="00BB501D">
        <w:rPr>
          <w:color w:val="000000"/>
        </w:rPr>
        <w:t xml:space="preserve">Both the parties agree that the disputes if any shall be subject to the exclusive jurisdiction of the Civil Courts of Mumbai. This agreement shall be subject to the laws of India and </w:t>
      </w:r>
      <w:proofErr w:type="gramStart"/>
      <w:r w:rsidRPr="00BB501D">
        <w:rPr>
          <w:color w:val="000000"/>
        </w:rPr>
        <w:t>in particular to</w:t>
      </w:r>
      <w:proofErr w:type="gramEnd"/>
      <w:r w:rsidRPr="00BB501D">
        <w:rPr>
          <w:color w:val="000000"/>
        </w:rPr>
        <w:t xml:space="preserve"> the Government Securities Act 2006 and the Regulations made thereunder from time to time.</w:t>
      </w:r>
    </w:p>
    <w:p w14:paraId="291CA3E3" w14:textId="77777777" w:rsidR="00383CF1" w:rsidRPr="00BB501D" w:rsidRDefault="00383CF1" w:rsidP="00383CF1">
      <w:pPr>
        <w:jc w:val="both"/>
        <w:rPr>
          <w:b/>
          <w:color w:val="000000"/>
        </w:rPr>
      </w:pPr>
    </w:p>
    <w:p w14:paraId="4AC805DE" w14:textId="77777777" w:rsidR="00383CF1" w:rsidRPr="00BB501D" w:rsidRDefault="00383CF1" w:rsidP="00383CF1">
      <w:pPr>
        <w:numPr>
          <w:ilvl w:val="0"/>
          <w:numId w:val="2"/>
        </w:numPr>
        <w:ind w:left="283" w:hanging="283"/>
        <w:jc w:val="both"/>
        <w:rPr>
          <w:b/>
          <w:color w:val="000000"/>
        </w:rPr>
      </w:pPr>
      <w:r w:rsidRPr="00BB501D">
        <w:rPr>
          <w:b/>
          <w:color w:val="000000"/>
        </w:rPr>
        <w:t>Counterparts:</w:t>
      </w:r>
    </w:p>
    <w:p w14:paraId="7695FDA5" w14:textId="77777777" w:rsidR="00383CF1" w:rsidRPr="00BB501D" w:rsidRDefault="00383CF1" w:rsidP="00383CF1">
      <w:pPr>
        <w:jc w:val="both"/>
        <w:rPr>
          <w:b/>
          <w:color w:val="000000"/>
        </w:rPr>
      </w:pPr>
    </w:p>
    <w:p w14:paraId="7330A7A3" w14:textId="77777777" w:rsidR="00383CF1" w:rsidRPr="00BB501D" w:rsidRDefault="00383CF1" w:rsidP="00383CF1">
      <w:pPr>
        <w:ind w:left="283"/>
        <w:jc w:val="both"/>
        <w:rPr>
          <w:b/>
          <w:color w:val="000000"/>
        </w:rPr>
      </w:pPr>
      <w:r w:rsidRPr="00BB501D">
        <w:rPr>
          <w:color w:val="000000"/>
        </w:rPr>
        <w:t>This agreement may be entered into in two counterparts and by each party hereto on separate counterparts, each of which when so executed and delivered, shall be an original, but all the counterparts shall together constitute one and the same instrument.</w:t>
      </w:r>
    </w:p>
    <w:p w14:paraId="2C9C0C6E" w14:textId="77777777" w:rsidR="00383CF1" w:rsidRPr="00BB501D" w:rsidRDefault="00383CF1" w:rsidP="00383CF1">
      <w:pPr>
        <w:jc w:val="both"/>
        <w:rPr>
          <w:b/>
          <w:color w:val="000000"/>
        </w:rPr>
      </w:pPr>
    </w:p>
    <w:p w14:paraId="7995A74F" w14:textId="77777777" w:rsidR="00383CF1" w:rsidRPr="00BB501D" w:rsidRDefault="00383CF1" w:rsidP="00383CF1">
      <w:pPr>
        <w:jc w:val="both"/>
        <w:rPr>
          <w:color w:val="000000"/>
        </w:rPr>
      </w:pPr>
      <w:r w:rsidRPr="00BB501D">
        <w:rPr>
          <w:color w:val="000000"/>
        </w:rPr>
        <w:t xml:space="preserve">IN WITNESS WHEREOF, the parties hereto have caused this Agreement to be executed as of the day and year first above written, in two counterparts, one such counterpart to be retained by the Constituent and the other by </w:t>
      </w:r>
      <w:r>
        <w:rPr>
          <w:color w:val="000000"/>
        </w:rPr>
        <w:t>NCL</w:t>
      </w:r>
      <w:r w:rsidRPr="00BB501D">
        <w:rPr>
          <w:color w:val="000000"/>
        </w:rPr>
        <w:t>.</w:t>
      </w:r>
    </w:p>
    <w:p w14:paraId="7D40693F" w14:textId="77777777" w:rsidR="00383CF1" w:rsidRPr="00BB501D" w:rsidRDefault="00383CF1" w:rsidP="00383CF1">
      <w:pPr>
        <w:jc w:val="both"/>
        <w:rPr>
          <w:color w:val="000000"/>
        </w:rPr>
      </w:pPr>
    </w:p>
    <w:p w14:paraId="2B12974A" w14:textId="77777777" w:rsidR="00383CF1" w:rsidRPr="00BB501D" w:rsidRDefault="00383CF1" w:rsidP="00383CF1">
      <w:pPr>
        <w:jc w:val="both"/>
        <w:rPr>
          <w:color w:val="000000"/>
        </w:rPr>
      </w:pPr>
      <w:r w:rsidRPr="00BB501D">
        <w:rPr>
          <w:b/>
          <w:color w:val="000000"/>
        </w:rPr>
        <w:t xml:space="preserve">Signed and </w:t>
      </w:r>
      <w:proofErr w:type="gramStart"/>
      <w:r w:rsidRPr="00BB501D">
        <w:rPr>
          <w:b/>
          <w:color w:val="000000"/>
        </w:rPr>
        <w:t>Delivered</w:t>
      </w:r>
      <w:proofErr w:type="gramEnd"/>
      <w:r w:rsidRPr="00BB501D">
        <w:rPr>
          <w:b/>
          <w:color w:val="000000"/>
        </w:rPr>
        <w:t xml:space="preserve"> by</w:t>
      </w:r>
    </w:p>
    <w:p w14:paraId="0342C009" w14:textId="77777777" w:rsidR="00383CF1" w:rsidRPr="00BB501D" w:rsidRDefault="00383CF1" w:rsidP="00383CF1">
      <w:pPr>
        <w:jc w:val="both"/>
        <w:rPr>
          <w:color w:val="000000"/>
        </w:rPr>
      </w:pPr>
    </w:p>
    <w:p w14:paraId="32CDDE0E" w14:textId="77777777" w:rsidR="00383CF1" w:rsidRPr="00BB501D" w:rsidRDefault="00383CF1" w:rsidP="00383CF1">
      <w:pPr>
        <w:jc w:val="both"/>
        <w:rPr>
          <w:color w:val="000000"/>
        </w:rPr>
      </w:pPr>
      <w:r w:rsidRPr="00BB501D">
        <w:rPr>
          <w:color w:val="000000"/>
        </w:rPr>
        <w:t xml:space="preserve">The Constituent represented by their </w:t>
      </w:r>
      <w:proofErr w:type="spellStart"/>
      <w:r w:rsidRPr="00BB501D">
        <w:rPr>
          <w:color w:val="000000"/>
        </w:rPr>
        <w:t>authorised</w:t>
      </w:r>
      <w:proofErr w:type="spellEnd"/>
      <w:r w:rsidRPr="00BB501D">
        <w:rPr>
          <w:color w:val="000000"/>
        </w:rPr>
        <w:t xml:space="preserve"> officials as </w:t>
      </w:r>
      <w:proofErr w:type="spellStart"/>
      <w:r w:rsidRPr="00BB501D">
        <w:rPr>
          <w:color w:val="000000"/>
        </w:rPr>
        <w:t>authorised</w:t>
      </w:r>
      <w:proofErr w:type="spellEnd"/>
      <w:r w:rsidRPr="00BB501D">
        <w:rPr>
          <w:color w:val="000000"/>
        </w:rPr>
        <w:t xml:space="preserve"> under Board resolution dated ______ </w:t>
      </w:r>
    </w:p>
    <w:p w14:paraId="1ECC8F30" w14:textId="77777777" w:rsidR="00383CF1" w:rsidRPr="00BB501D" w:rsidRDefault="00383CF1" w:rsidP="00383CF1">
      <w:pPr>
        <w:jc w:val="both"/>
        <w:rPr>
          <w:color w:val="000000"/>
        </w:rPr>
      </w:pPr>
    </w:p>
    <w:p w14:paraId="289DF596" w14:textId="77777777" w:rsidR="00383CF1" w:rsidRPr="00BB501D" w:rsidRDefault="00383CF1" w:rsidP="00383CF1">
      <w:pPr>
        <w:jc w:val="both"/>
        <w:rPr>
          <w:color w:val="000000"/>
        </w:rPr>
      </w:pPr>
      <w:proofErr w:type="spellStart"/>
      <w:r w:rsidRPr="00BB501D">
        <w:rPr>
          <w:color w:val="000000"/>
        </w:rPr>
        <w:t>Authorised</w:t>
      </w:r>
      <w:proofErr w:type="spellEnd"/>
      <w:r w:rsidRPr="00BB501D">
        <w:rPr>
          <w:color w:val="000000"/>
        </w:rPr>
        <w:t xml:space="preserve"> signatories</w:t>
      </w:r>
      <w:r w:rsidRPr="00BB501D">
        <w:rPr>
          <w:color w:val="000000"/>
        </w:rPr>
        <w:tab/>
      </w:r>
      <w:r w:rsidRPr="00BB501D">
        <w:rPr>
          <w:color w:val="000000"/>
        </w:rPr>
        <w:tab/>
      </w:r>
      <w:r w:rsidRPr="00BB501D">
        <w:rPr>
          <w:color w:val="000000"/>
        </w:rPr>
        <w:tab/>
      </w:r>
    </w:p>
    <w:p w14:paraId="4EE34A77" w14:textId="77777777" w:rsidR="00383CF1" w:rsidRPr="00BB501D" w:rsidRDefault="00383CF1" w:rsidP="00383CF1">
      <w:pPr>
        <w:jc w:val="both"/>
        <w:rPr>
          <w:color w:val="000000"/>
        </w:rPr>
      </w:pPr>
      <w:r w:rsidRPr="00BB501D">
        <w:rPr>
          <w:color w:val="000000"/>
        </w:rPr>
        <w:t>1.</w:t>
      </w:r>
      <w:r w:rsidRPr="00BB501D">
        <w:rPr>
          <w:color w:val="000000"/>
        </w:rPr>
        <w:tab/>
      </w:r>
    </w:p>
    <w:p w14:paraId="00ACA24F" w14:textId="77777777" w:rsidR="00383CF1" w:rsidRPr="00BB501D" w:rsidRDefault="00383CF1" w:rsidP="00383CF1">
      <w:pPr>
        <w:jc w:val="both"/>
        <w:rPr>
          <w:color w:val="000000"/>
        </w:rPr>
      </w:pPr>
    </w:p>
    <w:p w14:paraId="79DB5376" w14:textId="77777777" w:rsidR="00383CF1" w:rsidRPr="00BB501D" w:rsidRDefault="00383CF1" w:rsidP="00383CF1">
      <w:pPr>
        <w:jc w:val="both"/>
        <w:rPr>
          <w:color w:val="000000"/>
        </w:rPr>
      </w:pPr>
      <w:r w:rsidRPr="00BB501D">
        <w:rPr>
          <w:color w:val="000000"/>
        </w:rPr>
        <w:t>2.</w:t>
      </w:r>
    </w:p>
    <w:p w14:paraId="6E1DE0DC" w14:textId="77777777" w:rsidR="00383CF1" w:rsidRPr="00BB501D" w:rsidRDefault="00383CF1" w:rsidP="00383CF1">
      <w:pPr>
        <w:jc w:val="both"/>
        <w:rPr>
          <w:color w:val="000000"/>
        </w:rPr>
      </w:pPr>
    </w:p>
    <w:p w14:paraId="0B483B35" w14:textId="77777777" w:rsidR="00383CF1" w:rsidRPr="00BB501D" w:rsidRDefault="00383CF1" w:rsidP="00383CF1">
      <w:pPr>
        <w:jc w:val="both"/>
        <w:rPr>
          <w:color w:val="000000"/>
        </w:rPr>
      </w:pPr>
    </w:p>
    <w:p w14:paraId="6D14074A" w14:textId="77777777" w:rsidR="00383CF1" w:rsidRPr="00BB501D" w:rsidRDefault="00383CF1" w:rsidP="00383CF1">
      <w:pPr>
        <w:jc w:val="both"/>
        <w:rPr>
          <w:color w:val="000000"/>
        </w:rPr>
      </w:pPr>
      <w:r w:rsidRPr="00BB501D">
        <w:rPr>
          <w:color w:val="000000"/>
        </w:rPr>
        <w:t xml:space="preserve">Witnesses </w:t>
      </w:r>
    </w:p>
    <w:p w14:paraId="34689413" w14:textId="77777777" w:rsidR="00383CF1" w:rsidRPr="00BB501D" w:rsidRDefault="00383CF1" w:rsidP="00383CF1">
      <w:pPr>
        <w:jc w:val="both"/>
        <w:rPr>
          <w:color w:val="000000"/>
        </w:rPr>
      </w:pPr>
    </w:p>
    <w:p w14:paraId="2B056FD9" w14:textId="77777777" w:rsidR="00383CF1" w:rsidRPr="00BB501D" w:rsidRDefault="00383CF1" w:rsidP="00383CF1">
      <w:pPr>
        <w:jc w:val="both"/>
        <w:rPr>
          <w:color w:val="000000"/>
        </w:rPr>
      </w:pPr>
      <w:r w:rsidRPr="00BB501D">
        <w:rPr>
          <w:color w:val="000000"/>
        </w:rPr>
        <w:t>1.</w:t>
      </w:r>
    </w:p>
    <w:p w14:paraId="0AA0B499" w14:textId="77777777" w:rsidR="00383CF1" w:rsidRPr="00BB501D" w:rsidRDefault="00383CF1" w:rsidP="00383CF1">
      <w:pPr>
        <w:rPr>
          <w:color w:val="000000"/>
        </w:rPr>
      </w:pPr>
    </w:p>
    <w:p w14:paraId="523D001D" w14:textId="77777777" w:rsidR="00383CF1" w:rsidRPr="00BB501D" w:rsidRDefault="00383CF1" w:rsidP="00383CF1">
      <w:pPr>
        <w:rPr>
          <w:color w:val="000000"/>
        </w:rPr>
      </w:pPr>
      <w:r w:rsidRPr="00BB501D">
        <w:rPr>
          <w:color w:val="000000"/>
        </w:rPr>
        <w:t xml:space="preserve">2. </w:t>
      </w:r>
    </w:p>
    <w:p w14:paraId="093A2AA9" w14:textId="77777777" w:rsidR="00383CF1" w:rsidRPr="00BB501D" w:rsidRDefault="00383CF1" w:rsidP="00383CF1">
      <w:pPr>
        <w:rPr>
          <w:color w:val="000000"/>
        </w:rPr>
      </w:pPr>
    </w:p>
    <w:p w14:paraId="17834BDF" w14:textId="77777777" w:rsidR="00383CF1" w:rsidRPr="00BB501D" w:rsidRDefault="00383CF1" w:rsidP="00383CF1">
      <w:pPr>
        <w:jc w:val="both"/>
        <w:rPr>
          <w:b/>
          <w:color w:val="000000"/>
        </w:rPr>
      </w:pPr>
      <w:r w:rsidRPr="00BB501D">
        <w:rPr>
          <w:b/>
          <w:color w:val="000000"/>
        </w:rPr>
        <w:t xml:space="preserve">Signed and </w:t>
      </w:r>
      <w:proofErr w:type="gramStart"/>
      <w:r w:rsidRPr="00BB501D">
        <w:rPr>
          <w:b/>
          <w:color w:val="000000"/>
        </w:rPr>
        <w:t>Delivered</w:t>
      </w:r>
      <w:proofErr w:type="gramEnd"/>
      <w:r w:rsidRPr="00BB501D">
        <w:rPr>
          <w:b/>
          <w:color w:val="000000"/>
        </w:rPr>
        <w:t xml:space="preserve"> by</w:t>
      </w:r>
    </w:p>
    <w:p w14:paraId="23025F83" w14:textId="77777777" w:rsidR="00383CF1" w:rsidRPr="00BB501D" w:rsidRDefault="00383CF1" w:rsidP="00383CF1">
      <w:pPr>
        <w:jc w:val="both"/>
        <w:rPr>
          <w:b/>
          <w:color w:val="000000"/>
        </w:rPr>
      </w:pPr>
    </w:p>
    <w:p w14:paraId="2D16F297" w14:textId="77777777" w:rsidR="00383CF1" w:rsidRPr="00BB501D" w:rsidRDefault="00383CF1" w:rsidP="00383CF1">
      <w:pPr>
        <w:jc w:val="both"/>
        <w:rPr>
          <w:color w:val="000000"/>
        </w:rPr>
      </w:pPr>
      <w:r w:rsidRPr="00BB501D">
        <w:rPr>
          <w:color w:val="000000"/>
        </w:rPr>
        <w:t>N</w:t>
      </w:r>
      <w:r>
        <w:rPr>
          <w:color w:val="000000"/>
        </w:rPr>
        <w:t>SE</w:t>
      </w:r>
      <w:r w:rsidRPr="00BB501D">
        <w:rPr>
          <w:color w:val="000000"/>
        </w:rPr>
        <w:t xml:space="preserve"> Clearing Limited represented by their </w:t>
      </w:r>
      <w:proofErr w:type="spellStart"/>
      <w:r w:rsidRPr="00BB501D">
        <w:rPr>
          <w:color w:val="000000"/>
        </w:rPr>
        <w:t>authorised</w:t>
      </w:r>
      <w:proofErr w:type="spellEnd"/>
      <w:r w:rsidRPr="00BB501D">
        <w:rPr>
          <w:color w:val="000000"/>
        </w:rPr>
        <w:t xml:space="preserve"> signatories.</w:t>
      </w:r>
    </w:p>
    <w:p w14:paraId="64656810" w14:textId="77777777" w:rsidR="00383CF1" w:rsidRPr="00BB501D" w:rsidRDefault="00383CF1" w:rsidP="00383CF1">
      <w:pPr>
        <w:jc w:val="both"/>
        <w:rPr>
          <w:color w:val="000000"/>
        </w:rPr>
      </w:pPr>
    </w:p>
    <w:p w14:paraId="21562C85" w14:textId="77777777" w:rsidR="00383CF1" w:rsidRPr="00BB501D" w:rsidRDefault="00383CF1" w:rsidP="00383CF1">
      <w:pPr>
        <w:jc w:val="both"/>
        <w:rPr>
          <w:color w:val="000000"/>
        </w:rPr>
      </w:pPr>
      <w:proofErr w:type="spellStart"/>
      <w:r w:rsidRPr="00BB501D">
        <w:rPr>
          <w:color w:val="000000"/>
        </w:rPr>
        <w:t>Authorised</w:t>
      </w:r>
      <w:proofErr w:type="spellEnd"/>
      <w:r w:rsidRPr="00BB501D">
        <w:rPr>
          <w:color w:val="000000"/>
        </w:rPr>
        <w:t xml:space="preserve"> signatories</w:t>
      </w:r>
      <w:r w:rsidRPr="00BB501D">
        <w:rPr>
          <w:color w:val="000000"/>
        </w:rPr>
        <w:tab/>
      </w:r>
      <w:r w:rsidRPr="00BB501D">
        <w:rPr>
          <w:color w:val="000000"/>
        </w:rPr>
        <w:tab/>
      </w:r>
      <w:r w:rsidRPr="00BB501D">
        <w:rPr>
          <w:color w:val="000000"/>
        </w:rPr>
        <w:tab/>
      </w:r>
    </w:p>
    <w:p w14:paraId="01F6A3B7" w14:textId="77777777" w:rsidR="00383CF1" w:rsidRPr="00BB501D" w:rsidRDefault="00383CF1" w:rsidP="00383CF1">
      <w:pPr>
        <w:jc w:val="both"/>
        <w:rPr>
          <w:color w:val="000000"/>
        </w:rPr>
      </w:pPr>
      <w:r w:rsidRPr="00BB501D">
        <w:rPr>
          <w:color w:val="000000"/>
        </w:rPr>
        <w:t>1.</w:t>
      </w:r>
      <w:r w:rsidRPr="00BB501D">
        <w:rPr>
          <w:color w:val="000000"/>
        </w:rPr>
        <w:tab/>
      </w:r>
    </w:p>
    <w:p w14:paraId="6DF35C33" w14:textId="77777777" w:rsidR="00383CF1" w:rsidRPr="00BB501D" w:rsidRDefault="00383CF1" w:rsidP="00383CF1">
      <w:pPr>
        <w:jc w:val="both"/>
        <w:rPr>
          <w:color w:val="000000"/>
        </w:rPr>
      </w:pPr>
    </w:p>
    <w:p w14:paraId="2C24FDA0" w14:textId="77777777" w:rsidR="00383CF1" w:rsidRPr="00BB501D" w:rsidRDefault="00383CF1" w:rsidP="00383CF1">
      <w:pPr>
        <w:jc w:val="both"/>
        <w:rPr>
          <w:color w:val="000000"/>
        </w:rPr>
      </w:pPr>
      <w:r w:rsidRPr="00BB501D">
        <w:rPr>
          <w:color w:val="000000"/>
        </w:rPr>
        <w:t>2.</w:t>
      </w:r>
    </w:p>
    <w:p w14:paraId="2222BFAA" w14:textId="77777777" w:rsidR="00383CF1" w:rsidRPr="00BB501D" w:rsidRDefault="00383CF1" w:rsidP="00383CF1">
      <w:pPr>
        <w:jc w:val="both"/>
        <w:rPr>
          <w:color w:val="000000"/>
        </w:rPr>
      </w:pPr>
    </w:p>
    <w:p w14:paraId="2A1F9CC0" w14:textId="77777777" w:rsidR="00383CF1" w:rsidRPr="00BB501D" w:rsidRDefault="00383CF1" w:rsidP="00383CF1">
      <w:pPr>
        <w:jc w:val="both"/>
        <w:rPr>
          <w:color w:val="000000"/>
        </w:rPr>
      </w:pPr>
    </w:p>
    <w:p w14:paraId="19CD29E0" w14:textId="77777777" w:rsidR="00383CF1" w:rsidRPr="00BB501D" w:rsidRDefault="00383CF1" w:rsidP="00383CF1">
      <w:pPr>
        <w:jc w:val="both"/>
        <w:rPr>
          <w:color w:val="000000"/>
        </w:rPr>
      </w:pPr>
      <w:r w:rsidRPr="00BB501D">
        <w:rPr>
          <w:color w:val="000000"/>
        </w:rPr>
        <w:t xml:space="preserve">Witnesses </w:t>
      </w:r>
    </w:p>
    <w:p w14:paraId="6ECC2BB9" w14:textId="77777777" w:rsidR="00383CF1" w:rsidRPr="00BB501D" w:rsidRDefault="00383CF1" w:rsidP="00383CF1">
      <w:pPr>
        <w:jc w:val="both"/>
        <w:rPr>
          <w:color w:val="000000"/>
        </w:rPr>
      </w:pPr>
    </w:p>
    <w:p w14:paraId="29B63EA3" w14:textId="77777777" w:rsidR="00383CF1" w:rsidRPr="00BB501D" w:rsidRDefault="00383CF1" w:rsidP="00383CF1">
      <w:pPr>
        <w:jc w:val="both"/>
        <w:rPr>
          <w:color w:val="000000"/>
        </w:rPr>
      </w:pPr>
      <w:r w:rsidRPr="00BB501D">
        <w:rPr>
          <w:color w:val="000000"/>
        </w:rPr>
        <w:t>1.</w:t>
      </w:r>
    </w:p>
    <w:p w14:paraId="4F8DB261" w14:textId="77777777" w:rsidR="00383CF1" w:rsidRPr="00BB501D" w:rsidRDefault="00383CF1" w:rsidP="00383CF1">
      <w:pPr>
        <w:jc w:val="both"/>
        <w:rPr>
          <w:color w:val="000000"/>
        </w:rPr>
      </w:pPr>
    </w:p>
    <w:p w14:paraId="0A0111CD" w14:textId="77777777" w:rsidR="00383CF1" w:rsidRPr="00BB501D" w:rsidRDefault="00383CF1" w:rsidP="00383CF1">
      <w:pPr>
        <w:jc w:val="both"/>
        <w:rPr>
          <w:color w:val="000000"/>
        </w:rPr>
      </w:pPr>
      <w:r w:rsidRPr="00BB501D">
        <w:rPr>
          <w:color w:val="000000"/>
        </w:rPr>
        <w:t xml:space="preserve">2. </w:t>
      </w:r>
    </w:p>
    <w:p w14:paraId="6614A1CA" w14:textId="77777777" w:rsidR="00383CF1" w:rsidRPr="00BB501D" w:rsidRDefault="00383CF1" w:rsidP="00383CF1">
      <w:pPr>
        <w:jc w:val="both"/>
        <w:rPr>
          <w:color w:val="000000"/>
        </w:rPr>
      </w:pPr>
    </w:p>
    <w:p w14:paraId="408FA4B0" w14:textId="77777777" w:rsidR="00383CF1" w:rsidRPr="00BB501D" w:rsidRDefault="00383CF1" w:rsidP="00383CF1">
      <w:pPr>
        <w:jc w:val="both"/>
        <w:rPr>
          <w:color w:val="000000"/>
        </w:rPr>
      </w:pPr>
    </w:p>
    <w:p w14:paraId="61ADD9C3" w14:textId="77777777" w:rsidR="00383CF1" w:rsidRPr="00BB501D" w:rsidRDefault="00383CF1" w:rsidP="00383CF1">
      <w:pPr>
        <w:jc w:val="both"/>
        <w:rPr>
          <w:b/>
          <w:color w:val="000000"/>
        </w:rPr>
      </w:pPr>
    </w:p>
    <w:p w14:paraId="65880845" w14:textId="77777777" w:rsidR="00383CF1" w:rsidRPr="00BB501D" w:rsidRDefault="00383CF1" w:rsidP="00383CF1">
      <w:pPr>
        <w:jc w:val="both"/>
        <w:rPr>
          <w:b/>
          <w:color w:val="000000"/>
        </w:rPr>
      </w:pPr>
    </w:p>
    <w:p w14:paraId="2EB237A1" w14:textId="77777777" w:rsidR="00383CF1" w:rsidRPr="00BB501D" w:rsidRDefault="00383CF1" w:rsidP="00383CF1">
      <w:pPr>
        <w:jc w:val="both"/>
        <w:rPr>
          <w:color w:val="000000"/>
        </w:rPr>
      </w:pPr>
      <w:proofErr w:type="gramStart"/>
      <w:r w:rsidRPr="00BB501D">
        <w:rPr>
          <w:b/>
          <w:color w:val="000000"/>
          <w:u w:val="single"/>
        </w:rPr>
        <w:t>Note:-</w:t>
      </w:r>
      <w:proofErr w:type="gramEnd"/>
      <w:r w:rsidRPr="00BB501D">
        <w:rPr>
          <w:b/>
          <w:color w:val="000000"/>
          <w:u w:val="single"/>
        </w:rPr>
        <w:t xml:space="preserve"> </w:t>
      </w:r>
      <w:r w:rsidRPr="00BB501D">
        <w:rPr>
          <w:color w:val="000000"/>
        </w:rPr>
        <w:t xml:space="preserve"> </w:t>
      </w:r>
    </w:p>
    <w:p w14:paraId="060CD8EF" w14:textId="77777777" w:rsidR="00383CF1" w:rsidRPr="00BB501D" w:rsidRDefault="00383CF1" w:rsidP="00383CF1">
      <w:pPr>
        <w:jc w:val="both"/>
        <w:rPr>
          <w:color w:val="000000"/>
        </w:rPr>
      </w:pPr>
    </w:p>
    <w:p w14:paraId="35EAFA34" w14:textId="77777777" w:rsidR="00383CF1" w:rsidRPr="00BB501D" w:rsidRDefault="00383CF1" w:rsidP="00383CF1">
      <w:pPr>
        <w:numPr>
          <w:ilvl w:val="0"/>
          <w:numId w:val="4"/>
        </w:numPr>
        <w:tabs>
          <w:tab w:val="left" w:pos="360"/>
        </w:tabs>
        <w:jc w:val="both"/>
        <w:rPr>
          <w:color w:val="000000"/>
        </w:rPr>
      </w:pPr>
      <w:r w:rsidRPr="00BB501D">
        <w:rPr>
          <w:color w:val="000000"/>
        </w:rPr>
        <w:t>To be executed on a non-judicial stamp paper of Rs.</w:t>
      </w:r>
      <w:r>
        <w:rPr>
          <w:color w:val="000000"/>
        </w:rPr>
        <w:t>6</w:t>
      </w:r>
      <w:r w:rsidRPr="00BB501D">
        <w:rPr>
          <w:color w:val="000000"/>
        </w:rPr>
        <w:t xml:space="preserve">00/- or the value as applicable in the state </w:t>
      </w:r>
      <w:proofErr w:type="gramStart"/>
      <w:r w:rsidRPr="00BB501D">
        <w:rPr>
          <w:color w:val="000000"/>
        </w:rPr>
        <w:t>where</w:t>
      </w:r>
      <w:proofErr w:type="gramEnd"/>
      <w:r w:rsidRPr="00BB501D">
        <w:rPr>
          <w:color w:val="000000"/>
        </w:rPr>
        <w:t xml:space="preserve"> executed</w:t>
      </w:r>
    </w:p>
    <w:p w14:paraId="128D6B45" w14:textId="77777777" w:rsidR="00383CF1" w:rsidRPr="00BB501D" w:rsidRDefault="00383CF1" w:rsidP="00383CF1">
      <w:pPr>
        <w:numPr>
          <w:ilvl w:val="0"/>
          <w:numId w:val="4"/>
        </w:numPr>
        <w:tabs>
          <w:tab w:val="left" w:pos="360"/>
        </w:tabs>
        <w:jc w:val="both"/>
        <w:rPr>
          <w:color w:val="000000"/>
        </w:rPr>
      </w:pPr>
      <w:r w:rsidRPr="00BB501D">
        <w:rPr>
          <w:color w:val="000000"/>
        </w:rPr>
        <w:t>Page no.1 to be retyped on the stamp paper as above</w:t>
      </w:r>
    </w:p>
    <w:p w14:paraId="5658E964" w14:textId="77777777" w:rsidR="00383CF1" w:rsidRPr="00BB501D" w:rsidRDefault="00383CF1" w:rsidP="00383CF1">
      <w:pPr>
        <w:numPr>
          <w:ilvl w:val="0"/>
          <w:numId w:val="4"/>
        </w:numPr>
        <w:tabs>
          <w:tab w:val="left" w:pos="360"/>
        </w:tabs>
        <w:jc w:val="both"/>
        <w:rPr>
          <w:color w:val="000000"/>
        </w:rPr>
      </w:pPr>
      <w:r w:rsidRPr="00BB501D">
        <w:rPr>
          <w:color w:val="000000"/>
        </w:rPr>
        <w:t>Page no 2 –6 should be attached to the stamp paper</w:t>
      </w:r>
    </w:p>
    <w:p w14:paraId="648669E0" w14:textId="5A1B758C" w:rsidR="00954BE9" w:rsidRDefault="00954BE9" w:rsidP="00383CF1"/>
    <w:sectPr w:rsidR="00954BE9">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88E56" w14:textId="77777777" w:rsidR="008029FC" w:rsidRDefault="008029FC" w:rsidP="00383CF1">
      <w:r>
        <w:separator/>
      </w:r>
    </w:p>
  </w:endnote>
  <w:endnote w:type="continuationSeparator" w:id="0">
    <w:p w14:paraId="69685F98" w14:textId="77777777" w:rsidR="008029FC" w:rsidRDefault="008029FC" w:rsidP="0038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E41B" w14:textId="23051979" w:rsidR="00383CF1" w:rsidRDefault="00383CF1">
    <w:pPr>
      <w:pStyle w:val="Footer"/>
    </w:pPr>
    <w:r>
      <w:rPr>
        <w:noProof/>
        <w14:ligatures w14:val="standardContextual"/>
      </w:rPr>
      <mc:AlternateContent>
        <mc:Choice Requires="wps">
          <w:drawing>
            <wp:anchor distT="0" distB="0" distL="0" distR="0" simplePos="0" relativeHeight="251659264" behindDoc="0" locked="0" layoutInCell="1" allowOverlap="1" wp14:anchorId="15AEEA49" wp14:editId="5179CA46">
              <wp:simplePos x="635" y="635"/>
              <wp:positionH relativeFrom="page">
                <wp:align>center</wp:align>
              </wp:positionH>
              <wp:positionV relativeFrom="page">
                <wp:align>bottom</wp:align>
              </wp:positionV>
              <wp:extent cx="882650" cy="345440"/>
              <wp:effectExtent l="0" t="0" r="12700" b="0"/>
              <wp:wrapNone/>
              <wp:docPr id="1303005463" name="Text Box 2"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650" cy="345440"/>
                      </a:xfrm>
                      <a:prstGeom prst="rect">
                        <a:avLst/>
                      </a:prstGeom>
                      <a:noFill/>
                      <a:ln>
                        <a:noFill/>
                      </a:ln>
                    </wps:spPr>
                    <wps:txbx>
                      <w:txbxContent>
                        <w:p w14:paraId="50A2E770" w14:textId="14958D74" w:rsidR="00383CF1" w:rsidRPr="00383CF1" w:rsidRDefault="00383CF1" w:rsidP="00383CF1">
                          <w:pPr>
                            <w:rPr>
                              <w:rFonts w:ascii="Calibri" w:eastAsia="Calibri" w:hAnsi="Calibri" w:cs="Calibri"/>
                              <w:noProof/>
                              <w:color w:val="008000"/>
                              <w:sz w:val="20"/>
                              <w:szCs w:val="20"/>
                            </w:rPr>
                          </w:pPr>
                          <w:r w:rsidRPr="00383CF1">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EEA49" id="_x0000_t202" coordsize="21600,21600" o:spt="202" path="m,l,21600r21600,l21600,xe">
              <v:stroke joinstyle="miter"/>
              <v:path gradientshapeok="t" o:connecttype="rect"/>
            </v:shapetype>
            <v:shape id="Text Box 2" o:spid="_x0000_s1026" type="#_x0000_t202" alt="Non-Confidential" style="position:absolute;margin-left:0;margin-top:0;width:69.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" filled="f" stroked="f">
              <v:fill o:detectmouseclick="t"/>
              <v:textbox style="mso-fit-shape-to-text:t" inset="0,0,0,15pt">
                <w:txbxContent>
                  <w:p w14:paraId="50A2E770" w14:textId="14958D74" w:rsidR="00383CF1" w:rsidRPr="00383CF1" w:rsidRDefault="00383CF1" w:rsidP="00383CF1">
                    <w:pPr>
                      <w:rPr>
                        <w:rFonts w:ascii="Calibri" w:eastAsia="Calibri" w:hAnsi="Calibri" w:cs="Calibri"/>
                        <w:noProof/>
                        <w:color w:val="008000"/>
                        <w:sz w:val="20"/>
                        <w:szCs w:val="20"/>
                      </w:rPr>
                    </w:pPr>
                    <w:r w:rsidRPr="00383CF1">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982D" w14:textId="0414C888" w:rsidR="00383CF1" w:rsidRDefault="00383CF1">
    <w:pPr>
      <w:pStyle w:val="Footer"/>
    </w:pPr>
    <w:r>
      <w:rPr>
        <w:noProof/>
        <w14:ligatures w14:val="standardContextual"/>
      </w:rPr>
      <mc:AlternateContent>
        <mc:Choice Requires="wps">
          <w:drawing>
            <wp:anchor distT="0" distB="0" distL="0" distR="0" simplePos="0" relativeHeight="251660288" behindDoc="0" locked="0" layoutInCell="1" allowOverlap="1" wp14:anchorId="2C5DCB1F" wp14:editId="55AC58B3">
              <wp:simplePos x="914400" y="10067925"/>
              <wp:positionH relativeFrom="page">
                <wp:align>center</wp:align>
              </wp:positionH>
              <wp:positionV relativeFrom="page">
                <wp:align>bottom</wp:align>
              </wp:positionV>
              <wp:extent cx="882650" cy="345440"/>
              <wp:effectExtent l="0" t="0" r="12700" b="0"/>
              <wp:wrapNone/>
              <wp:docPr id="222761845" name="Text Box 3"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650" cy="345440"/>
                      </a:xfrm>
                      <a:prstGeom prst="rect">
                        <a:avLst/>
                      </a:prstGeom>
                      <a:noFill/>
                      <a:ln>
                        <a:noFill/>
                      </a:ln>
                    </wps:spPr>
                    <wps:txbx>
                      <w:txbxContent>
                        <w:p w14:paraId="287C028B" w14:textId="387A4951" w:rsidR="00383CF1" w:rsidRPr="00383CF1" w:rsidRDefault="00383CF1" w:rsidP="00383CF1">
                          <w:pPr>
                            <w:rPr>
                              <w:rFonts w:ascii="Calibri" w:eastAsia="Calibri" w:hAnsi="Calibri" w:cs="Calibri"/>
                              <w:noProof/>
                              <w:color w:val="008000"/>
                              <w:sz w:val="20"/>
                              <w:szCs w:val="20"/>
                            </w:rPr>
                          </w:pPr>
                          <w:r w:rsidRPr="00383CF1">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DCB1F" id="_x0000_t202" coordsize="21600,21600" o:spt="202" path="m,l,21600r21600,l21600,xe">
              <v:stroke joinstyle="miter"/>
              <v:path gradientshapeok="t" o:connecttype="rect"/>
            </v:shapetype>
            <v:shape id="Text Box 3" o:spid="_x0000_s1027" type="#_x0000_t202" alt="Non-Confidential" style="position:absolute;margin-left:0;margin-top:0;width:69.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" filled="f" stroked="f">
              <v:fill o:detectmouseclick="t"/>
              <v:textbox style="mso-fit-shape-to-text:t" inset="0,0,0,15pt">
                <w:txbxContent>
                  <w:p w14:paraId="287C028B" w14:textId="387A4951" w:rsidR="00383CF1" w:rsidRPr="00383CF1" w:rsidRDefault="00383CF1" w:rsidP="00383CF1">
                    <w:pPr>
                      <w:rPr>
                        <w:rFonts w:ascii="Calibri" w:eastAsia="Calibri" w:hAnsi="Calibri" w:cs="Calibri"/>
                        <w:noProof/>
                        <w:color w:val="008000"/>
                        <w:sz w:val="20"/>
                        <w:szCs w:val="20"/>
                      </w:rPr>
                    </w:pPr>
                    <w:r w:rsidRPr="00383CF1">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D61C" w14:textId="169FC526" w:rsidR="00383CF1" w:rsidRDefault="00383CF1">
    <w:pPr>
      <w:pStyle w:val="Footer"/>
    </w:pPr>
    <w:r>
      <w:rPr>
        <w:noProof/>
        <w14:ligatures w14:val="standardContextual"/>
      </w:rPr>
      <mc:AlternateContent>
        <mc:Choice Requires="wps">
          <w:drawing>
            <wp:anchor distT="0" distB="0" distL="0" distR="0" simplePos="0" relativeHeight="251658240" behindDoc="0" locked="0" layoutInCell="1" allowOverlap="1" wp14:anchorId="0A5AF922" wp14:editId="407E1F82">
              <wp:simplePos x="635" y="635"/>
              <wp:positionH relativeFrom="page">
                <wp:align>center</wp:align>
              </wp:positionH>
              <wp:positionV relativeFrom="page">
                <wp:align>bottom</wp:align>
              </wp:positionV>
              <wp:extent cx="882650" cy="345440"/>
              <wp:effectExtent l="0" t="0" r="12700" b="0"/>
              <wp:wrapNone/>
              <wp:docPr id="490632496" name="Text Box 1"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650" cy="345440"/>
                      </a:xfrm>
                      <a:prstGeom prst="rect">
                        <a:avLst/>
                      </a:prstGeom>
                      <a:noFill/>
                      <a:ln>
                        <a:noFill/>
                      </a:ln>
                    </wps:spPr>
                    <wps:txbx>
                      <w:txbxContent>
                        <w:p w14:paraId="750832B5" w14:textId="568E4F80" w:rsidR="00383CF1" w:rsidRPr="00383CF1" w:rsidRDefault="00383CF1" w:rsidP="00383CF1">
                          <w:pPr>
                            <w:rPr>
                              <w:rFonts w:ascii="Calibri" w:eastAsia="Calibri" w:hAnsi="Calibri" w:cs="Calibri"/>
                              <w:noProof/>
                              <w:color w:val="008000"/>
                              <w:sz w:val="20"/>
                              <w:szCs w:val="20"/>
                            </w:rPr>
                          </w:pPr>
                          <w:r w:rsidRPr="00383CF1">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AF922" id="_x0000_t202" coordsize="21600,21600" o:spt="202" path="m,l,21600r21600,l21600,xe">
              <v:stroke joinstyle="miter"/>
              <v:path gradientshapeok="t" o:connecttype="rect"/>
            </v:shapetype>
            <v:shape id="Text Box 1" o:spid="_x0000_s1028" type="#_x0000_t202" alt="Non-Confidential" style="position:absolute;margin-left:0;margin-top:0;width:69.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h2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" filled="f" stroked="f">
              <v:fill o:detectmouseclick="t"/>
              <v:textbox style="mso-fit-shape-to-text:t" inset="0,0,0,15pt">
                <w:txbxContent>
                  <w:p w14:paraId="750832B5" w14:textId="568E4F80" w:rsidR="00383CF1" w:rsidRPr="00383CF1" w:rsidRDefault="00383CF1" w:rsidP="00383CF1">
                    <w:pPr>
                      <w:rPr>
                        <w:rFonts w:ascii="Calibri" w:eastAsia="Calibri" w:hAnsi="Calibri" w:cs="Calibri"/>
                        <w:noProof/>
                        <w:color w:val="008000"/>
                        <w:sz w:val="20"/>
                        <w:szCs w:val="20"/>
                      </w:rPr>
                    </w:pPr>
                    <w:r w:rsidRPr="00383CF1">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46373" w14:textId="77777777" w:rsidR="008029FC" w:rsidRDefault="008029FC" w:rsidP="00383CF1">
      <w:r>
        <w:separator/>
      </w:r>
    </w:p>
  </w:footnote>
  <w:footnote w:type="continuationSeparator" w:id="0">
    <w:p w14:paraId="66CC98BE" w14:textId="77777777" w:rsidR="008029FC" w:rsidRDefault="008029FC" w:rsidP="0038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04E3A"/>
    <w:multiLevelType w:val="singleLevel"/>
    <w:tmpl w:val="04090017"/>
    <w:lvl w:ilvl="0">
      <w:start w:val="1"/>
      <w:numFmt w:val="lowerLetter"/>
      <w:lvlText w:val="%1)"/>
      <w:lvlJc w:val="left"/>
      <w:pPr>
        <w:ind w:left="720" w:hanging="360"/>
      </w:pPr>
    </w:lvl>
  </w:abstractNum>
  <w:abstractNum w:abstractNumId="1" w15:restartNumberingAfterBreak="0">
    <w:nsid w:val="576C1F8F"/>
    <w:multiLevelType w:val="singleLevel"/>
    <w:tmpl w:val="79B0E362"/>
    <w:lvl w:ilvl="0">
      <w:start w:val="1"/>
      <w:numFmt w:val="decimal"/>
      <w:lvlText w:val="%1."/>
      <w:lvlJc w:val="left"/>
      <w:pPr>
        <w:ind w:left="360" w:hanging="360"/>
      </w:pPr>
      <w:rPr>
        <w:b w:val="0"/>
        <w:i w:val="0"/>
      </w:rPr>
    </w:lvl>
  </w:abstractNum>
  <w:abstractNum w:abstractNumId="2" w15:restartNumberingAfterBreak="0">
    <w:nsid w:val="5FAE6930"/>
    <w:multiLevelType w:val="multilevel"/>
    <w:tmpl w:val="2E32A712"/>
    <w:lvl w:ilvl="0">
      <w:start w:val="2"/>
      <w:numFmt w:val="decimal"/>
      <w:lvlText w:val="%1."/>
      <w:lvlJc w:val="left"/>
      <w:pPr>
        <w:tabs>
          <w:tab w:val="num" w:pos="900"/>
        </w:tabs>
        <w:ind w:left="900" w:hanging="54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3" w15:restartNumberingAfterBreak="0">
    <w:nsid w:val="6F0F6B54"/>
    <w:multiLevelType w:val="singleLevel"/>
    <w:tmpl w:val="0409000F"/>
    <w:lvl w:ilvl="0">
      <w:start w:val="1"/>
      <w:numFmt w:val="decimal"/>
      <w:lvlText w:val="%1."/>
      <w:legacy w:legacy="1" w:legacySpace="0" w:legacyIndent="360"/>
      <w:lvlJc w:val="left"/>
      <w:pPr>
        <w:ind w:left="360" w:hanging="360"/>
      </w:pPr>
    </w:lvl>
  </w:abstractNum>
  <w:num w:numId="1" w16cid:durableId="6915456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196664">
    <w:abstractNumId w:val="0"/>
    <w:lvlOverride w:ilvl="0">
      <w:startOverride w:val="1"/>
    </w:lvlOverride>
  </w:num>
  <w:num w:numId="3" w16cid:durableId="1150487439">
    <w:abstractNumId w:val="1"/>
    <w:lvlOverride w:ilvl="0">
      <w:startOverride w:val="1"/>
    </w:lvlOverride>
  </w:num>
  <w:num w:numId="4" w16cid:durableId="56684540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F1"/>
    <w:rsid w:val="00383CF1"/>
    <w:rsid w:val="008029FC"/>
    <w:rsid w:val="00954BE9"/>
    <w:rsid w:val="00C029B3"/>
    <w:rsid w:val="00E32C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6B26"/>
  <w15:chartTrackingRefBased/>
  <w15:docId w15:val="{0DA1800A-EA8C-4FD5-8315-5EB02C5C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F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383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C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C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C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C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CF1"/>
    <w:rPr>
      <w:rFonts w:eastAsiaTheme="majorEastAsia" w:cstheme="majorBidi"/>
      <w:color w:val="272727" w:themeColor="text1" w:themeTint="D8"/>
    </w:rPr>
  </w:style>
  <w:style w:type="paragraph" w:styleId="Title">
    <w:name w:val="Title"/>
    <w:basedOn w:val="Normal"/>
    <w:next w:val="Normal"/>
    <w:link w:val="TitleChar"/>
    <w:uiPriority w:val="10"/>
    <w:qFormat/>
    <w:rsid w:val="00383C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CF1"/>
    <w:pPr>
      <w:spacing w:before="160"/>
      <w:jc w:val="center"/>
    </w:pPr>
    <w:rPr>
      <w:i/>
      <w:iCs/>
      <w:color w:val="404040" w:themeColor="text1" w:themeTint="BF"/>
    </w:rPr>
  </w:style>
  <w:style w:type="character" w:customStyle="1" w:styleId="QuoteChar">
    <w:name w:val="Quote Char"/>
    <w:basedOn w:val="DefaultParagraphFont"/>
    <w:link w:val="Quote"/>
    <w:uiPriority w:val="29"/>
    <w:rsid w:val="00383CF1"/>
    <w:rPr>
      <w:i/>
      <w:iCs/>
      <w:color w:val="404040" w:themeColor="text1" w:themeTint="BF"/>
    </w:rPr>
  </w:style>
  <w:style w:type="paragraph" w:styleId="ListParagraph">
    <w:name w:val="List Paragraph"/>
    <w:aliases w:val="lp1"/>
    <w:basedOn w:val="Normal"/>
    <w:link w:val="ListParagraphChar"/>
    <w:uiPriority w:val="34"/>
    <w:qFormat/>
    <w:rsid w:val="00383CF1"/>
    <w:pPr>
      <w:ind w:left="720"/>
      <w:contextualSpacing/>
    </w:pPr>
  </w:style>
  <w:style w:type="character" w:styleId="IntenseEmphasis">
    <w:name w:val="Intense Emphasis"/>
    <w:basedOn w:val="DefaultParagraphFont"/>
    <w:uiPriority w:val="21"/>
    <w:qFormat/>
    <w:rsid w:val="00383CF1"/>
    <w:rPr>
      <w:i/>
      <w:iCs/>
      <w:color w:val="0F4761" w:themeColor="accent1" w:themeShade="BF"/>
    </w:rPr>
  </w:style>
  <w:style w:type="paragraph" w:styleId="IntenseQuote">
    <w:name w:val="Intense Quote"/>
    <w:basedOn w:val="Normal"/>
    <w:next w:val="Normal"/>
    <w:link w:val="IntenseQuoteChar"/>
    <w:uiPriority w:val="30"/>
    <w:qFormat/>
    <w:rsid w:val="00383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CF1"/>
    <w:rPr>
      <w:i/>
      <w:iCs/>
      <w:color w:val="0F4761" w:themeColor="accent1" w:themeShade="BF"/>
    </w:rPr>
  </w:style>
  <w:style w:type="character" w:styleId="IntenseReference">
    <w:name w:val="Intense Reference"/>
    <w:basedOn w:val="DefaultParagraphFont"/>
    <w:uiPriority w:val="32"/>
    <w:qFormat/>
    <w:rsid w:val="00383CF1"/>
    <w:rPr>
      <w:b/>
      <w:bCs/>
      <w:smallCaps/>
      <w:color w:val="0F4761" w:themeColor="accent1" w:themeShade="BF"/>
      <w:spacing w:val="5"/>
    </w:rPr>
  </w:style>
  <w:style w:type="paragraph" w:styleId="BodyText2">
    <w:name w:val="Body Text 2"/>
    <w:basedOn w:val="Normal"/>
    <w:link w:val="BodyText2Char"/>
    <w:rsid w:val="00383CF1"/>
    <w:pPr>
      <w:spacing w:line="240" w:lineRule="atLeast"/>
      <w:jc w:val="both"/>
    </w:pPr>
    <w:rPr>
      <w:color w:val="000000"/>
    </w:rPr>
  </w:style>
  <w:style w:type="character" w:customStyle="1" w:styleId="BodyText2Char">
    <w:name w:val="Body Text 2 Char"/>
    <w:basedOn w:val="DefaultParagraphFont"/>
    <w:link w:val="BodyText2"/>
    <w:rsid w:val="00383CF1"/>
    <w:rPr>
      <w:rFonts w:ascii="Times New Roman" w:eastAsia="Times New Roman" w:hAnsi="Times New Roman" w:cs="Times New Roman"/>
      <w:color w:val="000000"/>
      <w:kern w:val="0"/>
      <w:sz w:val="24"/>
      <w:szCs w:val="24"/>
      <w:lang w:val="en-US"/>
      <w14:ligatures w14:val="none"/>
    </w:rPr>
  </w:style>
  <w:style w:type="character" w:customStyle="1" w:styleId="ListParagraphChar">
    <w:name w:val="List Paragraph Char"/>
    <w:aliases w:val="lp1 Char"/>
    <w:link w:val="ListParagraph"/>
    <w:uiPriority w:val="34"/>
    <w:rsid w:val="00383CF1"/>
  </w:style>
  <w:style w:type="paragraph" w:styleId="Footer">
    <w:name w:val="footer"/>
    <w:basedOn w:val="Normal"/>
    <w:link w:val="FooterChar"/>
    <w:uiPriority w:val="99"/>
    <w:unhideWhenUsed/>
    <w:rsid w:val="00383CF1"/>
    <w:pPr>
      <w:tabs>
        <w:tab w:val="center" w:pos="4513"/>
        <w:tab w:val="right" w:pos="9026"/>
      </w:tabs>
    </w:pPr>
  </w:style>
  <w:style w:type="character" w:customStyle="1" w:styleId="FooterChar">
    <w:name w:val="Footer Char"/>
    <w:basedOn w:val="DefaultParagraphFont"/>
    <w:link w:val="Footer"/>
    <w:uiPriority w:val="99"/>
    <w:rsid w:val="00383CF1"/>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1599</Words>
  <Characters>9117</Characters>
  <Application>Microsoft Office Word</Application>
  <DocSecurity>0</DocSecurity>
  <Lines>75</Lines>
  <Paragraphs>21</Paragraphs>
  <ScaleCrop>false</ScaleCrop>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Dedhia (CC-WATCH)</dc:creator>
  <cp:keywords/>
  <dc:description/>
  <cp:lastModifiedBy>Nikhil Dedhia (CC-WATCH)</cp:lastModifiedBy>
  <cp:revision>1</cp:revision>
  <dcterms:created xsi:type="dcterms:W3CDTF">2024-08-08T14:32:00Z</dcterms:created>
  <dcterms:modified xsi:type="dcterms:W3CDTF">2024-08-08T14:35:00Z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1d3e7530,4daa4917,d471375</vt:lpwstr>
  </property>
  <property fmtid="{D5CDD505-2E9C-101B-9397-08002B2CF9AE}" pid="3" name="ClassificationContentMarkingFooterFontProps">
    <vt:lpwstr>#008000,10,Calibri</vt:lpwstr>
  </property>
  <property fmtid="{D5CDD505-2E9C-101B-9397-08002B2CF9AE}" pid="4" name="ClassificationContentMarkingFooterText">
    <vt:lpwstr>Non-Confidential</vt:lpwstr>
  </property>
  <property fmtid="{D5CDD505-2E9C-101B-9397-08002B2CF9AE}" pid="5" name="MSIP_Label_305f50f5-e953-4c63-867b-388561f41989_Enabled">
    <vt:lpwstr>true</vt:lpwstr>
  </property>
  <property fmtid="{D5CDD505-2E9C-101B-9397-08002B2CF9AE}" pid="6" name="MSIP_Label_305f50f5-e953-4c63-867b-388561f41989_SetDate">
    <vt:lpwstr>2024-08-08T14:35:28Z</vt:lpwstr>
  </property>
  <property fmtid="{D5CDD505-2E9C-101B-9397-08002B2CF9AE}" pid="7" name="MSIP_Label_305f50f5-e953-4c63-867b-388561f41989_Method">
    <vt:lpwstr>Privileged</vt:lpwstr>
  </property>
  <property fmtid="{D5CDD505-2E9C-101B-9397-08002B2CF9AE}" pid="8" name="MSIP_Label_305f50f5-e953-4c63-867b-388561f41989_Name">
    <vt:lpwstr>305f50f5-e953-4c63-867b-388561f41989</vt:lpwstr>
  </property>
  <property fmtid="{D5CDD505-2E9C-101B-9397-08002B2CF9AE}" pid="9" name="MSIP_Label_305f50f5-e953-4c63-867b-388561f41989_SiteId">
    <vt:lpwstr>fb8ed654-3195-4846-ac37-491dc8a2349e</vt:lpwstr>
  </property>
  <property fmtid="{D5CDD505-2E9C-101B-9397-08002B2CF9AE}" pid="10" name="MSIP_Label_305f50f5-e953-4c63-867b-388561f41989_ActionId">
    <vt:lpwstr>15ebf224-07d8-42be-a328-0d196ec926c6</vt:lpwstr>
  </property>
  <property fmtid="{D5CDD505-2E9C-101B-9397-08002B2CF9AE}" pid="11" name="MSIP_Label_305f50f5-e953-4c63-867b-388561f41989_ContentBits">
    <vt:lpwstr>2</vt:lpwstr>
  </property>
</Properties>
</file>