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226ED" w14:textId="77777777" w:rsidR="000A0F2C" w:rsidRPr="00DE2A36" w:rsidRDefault="000A0F2C" w:rsidP="000A0F2C">
      <w:pPr>
        <w:pStyle w:val="ListParagraph"/>
        <w:jc w:val="both"/>
        <w:rPr>
          <w:rFonts w:asciiTheme="minorHAnsi" w:hAnsiTheme="minorHAnsi" w:cstheme="minorHAnsi"/>
          <w:b/>
          <w:bCs/>
        </w:rPr>
      </w:pPr>
      <w:r w:rsidRPr="00DE2A36">
        <w:rPr>
          <w:rFonts w:asciiTheme="minorHAnsi" w:hAnsiTheme="minorHAnsi" w:cstheme="minorHAnsi"/>
          <w:b/>
          <w:bCs/>
        </w:rPr>
        <w:t>The salient features are as follows:</w:t>
      </w:r>
    </w:p>
    <w:p w14:paraId="5BE13E82" w14:textId="77777777" w:rsidR="000A0F2C" w:rsidRPr="00DE2A36" w:rsidRDefault="000A0F2C" w:rsidP="000A0F2C">
      <w:pPr>
        <w:pStyle w:val="ListParagraph"/>
        <w:jc w:val="both"/>
        <w:rPr>
          <w:rFonts w:asciiTheme="minorHAnsi" w:hAnsiTheme="minorHAnsi" w:cstheme="minorHAnsi"/>
          <w:b/>
          <w:bCs/>
        </w:rPr>
      </w:pPr>
    </w:p>
    <w:p w14:paraId="244C1F80" w14:textId="76F4D8B5" w:rsidR="000A0F2C" w:rsidRPr="00DE2A36" w:rsidRDefault="000A0F2C" w:rsidP="000A0F2C">
      <w:pPr>
        <w:numPr>
          <w:ilvl w:val="0"/>
          <w:numId w:val="2"/>
        </w:numPr>
        <w:shd w:val="clear" w:color="auto" w:fill="FFFFFF"/>
        <w:tabs>
          <w:tab w:val="clear" w:pos="720"/>
        </w:tabs>
        <w:ind w:left="993" w:hanging="284"/>
        <w:jc w:val="both"/>
        <w:rPr>
          <w:rFonts w:asciiTheme="minorHAnsi" w:hAnsiTheme="minorHAnsi" w:cstheme="minorHAnsi"/>
          <w:color w:val="03050A"/>
          <w:lang w:eastAsia="en-IN"/>
        </w:rPr>
      </w:pPr>
      <w:r w:rsidRPr="00DE2A36">
        <w:rPr>
          <w:rFonts w:asciiTheme="minorHAnsi" w:hAnsiTheme="minorHAnsi" w:cstheme="minorHAnsi"/>
          <w:color w:val="03050A"/>
          <w:lang w:eastAsia="en-IN"/>
        </w:rPr>
        <w:t xml:space="preserve">The prior approval application for </w:t>
      </w:r>
      <w:r w:rsidR="009D7008" w:rsidRPr="00DE2A36">
        <w:rPr>
          <w:rFonts w:asciiTheme="minorHAnsi" w:hAnsiTheme="minorHAnsi" w:cstheme="minorHAnsi"/>
          <w:color w:val="03050A"/>
          <w:lang w:eastAsia="en-IN"/>
        </w:rPr>
        <w:t xml:space="preserve">business transfer/ </w:t>
      </w:r>
      <w:r w:rsidRPr="00DE2A36">
        <w:rPr>
          <w:rFonts w:asciiTheme="minorHAnsi" w:hAnsiTheme="minorHAnsi" w:cstheme="minorHAnsi"/>
          <w:color w:val="03050A"/>
          <w:lang w:eastAsia="en-IN"/>
        </w:rPr>
        <w:t xml:space="preserve">merger/demerger/amalgamation </w:t>
      </w:r>
      <w:r w:rsidR="00380767">
        <w:rPr>
          <w:rFonts w:asciiTheme="minorHAnsi" w:hAnsiTheme="minorHAnsi" w:cstheme="minorHAnsi"/>
          <w:color w:val="03050A"/>
          <w:lang w:eastAsia="en-IN"/>
        </w:rPr>
        <w:t xml:space="preserve">without change in control </w:t>
      </w:r>
      <w:r w:rsidRPr="00DE2A36">
        <w:rPr>
          <w:rFonts w:asciiTheme="minorHAnsi" w:hAnsiTheme="minorHAnsi" w:cstheme="minorHAnsi"/>
          <w:color w:val="03050A"/>
          <w:lang w:eastAsia="en-IN"/>
        </w:rPr>
        <w:t xml:space="preserve">must be submitted to the Exchange before </w:t>
      </w:r>
      <w:r w:rsidR="009D7008" w:rsidRPr="00DE2A36">
        <w:rPr>
          <w:rFonts w:asciiTheme="minorHAnsi" w:hAnsiTheme="minorHAnsi" w:cstheme="minorHAnsi"/>
          <w:color w:val="03050A"/>
          <w:lang w:eastAsia="en-IN"/>
        </w:rPr>
        <w:t xml:space="preserve">executing </w:t>
      </w:r>
      <w:r w:rsidR="0022340D" w:rsidRPr="00DE2A36">
        <w:rPr>
          <w:rFonts w:asciiTheme="minorHAnsi" w:hAnsiTheme="minorHAnsi" w:cstheme="minorHAnsi"/>
          <w:color w:val="03050A"/>
          <w:lang w:eastAsia="en-IN"/>
        </w:rPr>
        <w:t xml:space="preserve">the </w:t>
      </w:r>
      <w:r w:rsidR="00E4379E" w:rsidRPr="00DE2A36">
        <w:rPr>
          <w:rFonts w:asciiTheme="minorHAnsi" w:hAnsiTheme="minorHAnsi" w:cstheme="minorHAnsi"/>
          <w:color w:val="03050A"/>
          <w:lang w:eastAsia="en-IN"/>
        </w:rPr>
        <w:t>business transfer agreement</w:t>
      </w:r>
      <w:r w:rsidR="006036FD">
        <w:rPr>
          <w:rFonts w:asciiTheme="minorHAnsi" w:hAnsiTheme="minorHAnsi" w:cstheme="minorHAnsi"/>
          <w:color w:val="03050A"/>
          <w:lang w:eastAsia="en-IN"/>
        </w:rPr>
        <w:t xml:space="preserve"> or</w:t>
      </w:r>
      <w:r w:rsidR="00E4379E" w:rsidRPr="00DE2A36">
        <w:rPr>
          <w:rFonts w:asciiTheme="minorHAnsi" w:hAnsiTheme="minorHAnsi" w:cstheme="minorHAnsi"/>
          <w:color w:val="03050A"/>
          <w:lang w:eastAsia="en-IN"/>
        </w:rPr>
        <w:t xml:space="preserve"> </w:t>
      </w:r>
      <w:r w:rsidR="0022340D" w:rsidRPr="00DE2A36">
        <w:rPr>
          <w:rFonts w:asciiTheme="minorHAnsi" w:hAnsiTheme="minorHAnsi" w:cstheme="minorHAnsi"/>
          <w:color w:val="03050A"/>
          <w:lang w:eastAsia="en-IN"/>
        </w:rPr>
        <w:t xml:space="preserve">filing the scheme with the </w:t>
      </w:r>
      <w:r w:rsidRPr="00DE2A36">
        <w:rPr>
          <w:rFonts w:asciiTheme="minorHAnsi" w:hAnsiTheme="minorHAnsi" w:cstheme="minorHAnsi"/>
          <w:color w:val="03050A"/>
          <w:lang w:eastAsia="en-IN"/>
        </w:rPr>
        <w:t>NCLT/RD.</w:t>
      </w:r>
    </w:p>
    <w:p w14:paraId="7F24BF6A" w14:textId="196642F0" w:rsidR="003B5C1D" w:rsidRDefault="00F60E06" w:rsidP="00DE2A36">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Pr>
          <w:rFonts w:asciiTheme="minorHAnsi" w:hAnsiTheme="minorHAnsi" w:cstheme="minorHAnsi"/>
          <w:color w:val="03050A"/>
          <w:lang w:eastAsia="en-IN"/>
        </w:rPr>
        <w:t>T</w:t>
      </w:r>
      <w:r w:rsidR="003B5C1D">
        <w:rPr>
          <w:rFonts w:asciiTheme="minorHAnsi" w:hAnsiTheme="minorHAnsi" w:cstheme="minorHAnsi"/>
          <w:color w:val="03050A"/>
          <w:lang w:eastAsia="en-IN"/>
        </w:rPr>
        <w:t xml:space="preserve">rading members applying for merger/demerger/business transfer </w:t>
      </w:r>
      <w:r>
        <w:rPr>
          <w:rFonts w:asciiTheme="minorHAnsi" w:hAnsiTheme="minorHAnsi" w:cstheme="minorHAnsi"/>
          <w:color w:val="03050A"/>
          <w:lang w:eastAsia="en-IN"/>
        </w:rPr>
        <w:t xml:space="preserve">have </w:t>
      </w:r>
      <w:r w:rsidR="003B5C1D">
        <w:rPr>
          <w:rFonts w:asciiTheme="minorHAnsi" w:hAnsiTheme="minorHAnsi" w:cstheme="minorHAnsi"/>
          <w:color w:val="03050A"/>
          <w:lang w:eastAsia="en-IN"/>
        </w:rPr>
        <w:t xml:space="preserve">to </w:t>
      </w:r>
      <w:r w:rsidR="00284804">
        <w:rPr>
          <w:rFonts w:asciiTheme="minorHAnsi" w:hAnsiTheme="minorHAnsi" w:cstheme="minorHAnsi"/>
          <w:color w:val="03050A"/>
          <w:lang w:eastAsia="en-IN"/>
        </w:rPr>
        <w:t xml:space="preserve">obtain approval of SEBI as well even if the transferor/transferee is a </w:t>
      </w:r>
      <w:r w:rsidR="005E6837">
        <w:rPr>
          <w:rFonts w:asciiTheme="minorHAnsi" w:hAnsiTheme="minorHAnsi" w:cstheme="minorHAnsi"/>
          <w:color w:val="03050A"/>
          <w:lang w:eastAsia="en-IN"/>
        </w:rPr>
        <w:t xml:space="preserve">non-NSE member. To obtain the approval of SEBI, member has to designate </w:t>
      </w:r>
      <w:r w:rsidR="000B50B7">
        <w:rPr>
          <w:rFonts w:asciiTheme="minorHAnsi" w:hAnsiTheme="minorHAnsi" w:cstheme="minorHAnsi"/>
          <w:color w:val="03050A"/>
          <w:lang w:eastAsia="en-IN"/>
        </w:rPr>
        <w:t>any of the Exchange as the “Designated Exchange” to forward the application to SEBI to get the NOC from SEBI.</w:t>
      </w:r>
    </w:p>
    <w:p w14:paraId="17613D55" w14:textId="7DDF6B4F" w:rsidR="000A0F2C" w:rsidRPr="00DE2A36" w:rsidRDefault="000A0F2C" w:rsidP="00DE2A36">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color w:val="03050A"/>
          <w:lang w:eastAsia="en-IN"/>
        </w:rPr>
        <w:t>The Exchange shall provide the prior approval basis the NOC received from the SEBI on the application.</w:t>
      </w:r>
    </w:p>
    <w:p w14:paraId="23BE4CA9" w14:textId="77777777" w:rsidR="00752AAF" w:rsidRPr="00DE2A36" w:rsidRDefault="00752AAF" w:rsidP="00DE2A36">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color w:val="03050A"/>
          <w:lang w:eastAsia="en-IN"/>
        </w:rPr>
        <w:t>The scheme/business transfer agreement shall include a clause regarding :</w:t>
      </w:r>
    </w:p>
    <w:p w14:paraId="568FBCF2" w14:textId="77777777" w:rsidR="00752AAF" w:rsidRPr="00DE2A36" w:rsidRDefault="00752AAF" w:rsidP="00DE2A36">
      <w:pPr>
        <w:pStyle w:val="ListParagraph"/>
        <w:numPr>
          <w:ilvl w:val="0"/>
          <w:numId w:val="3"/>
        </w:numPr>
        <w:shd w:val="clear" w:color="auto" w:fill="FFFFFF"/>
        <w:spacing w:after="75"/>
        <w:ind w:left="1276" w:hanging="142"/>
        <w:jc w:val="both"/>
        <w:rPr>
          <w:rFonts w:asciiTheme="minorHAnsi" w:hAnsiTheme="minorHAnsi" w:cstheme="minorHAnsi"/>
          <w:color w:val="03050A"/>
          <w:lang w:eastAsia="en-IN"/>
        </w:rPr>
      </w:pPr>
      <w:r w:rsidRPr="00DE2A36">
        <w:rPr>
          <w:rFonts w:asciiTheme="minorHAnsi" w:hAnsiTheme="minorHAnsi" w:cstheme="minorHAnsi"/>
          <w:color w:val="03050A"/>
          <w:lang w:eastAsia="en-IN"/>
        </w:rPr>
        <w:t>honouring of all the financial commitments/obligations/liabilities of all the extinguishing Trading Members that devolved prior to business transfer or may devolve subsequent to the business transfer and shall be treated as if it were the liability of the transferee entity.</w:t>
      </w:r>
    </w:p>
    <w:p w14:paraId="635069AD" w14:textId="77777777" w:rsidR="00752AAF" w:rsidRPr="00DE2A36" w:rsidRDefault="00752AAF" w:rsidP="0022340D">
      <w:pPr>
        <w:pStyle w:val="ListParagraph"/>
        <w:numPr>
          <w:ilvl w:val="0"/>
          <w:numId w:val="3"/>
        </w:numPr>
        <w:shd w:val="clear" w:color="auto" w:fill="FFFFFF"/>
        <w:spacing w:after="75"/>
        <w:ind w:left="1276" w:hanging="142"/>
        <w:jc w:val="both"/>
        <w:rPr>
          <w:rFonts w:asciiTheme="minorHAnsi" w:hAnsiTheme="minorHAnsi" w:cstheme="minorHAnsi"/>
          <w:color w:val="03050A"/>
          <w:lang w:eastAsia="en-IN"/>
        </w:rPr>
      </w:pPr>
      <w:r w:rsidRPr="00DE2A36">
        <w:rPr>
          <w:rFonts w:asciiTheme="minorHAnsi" w:hAnsiTheme="minorHAnsi" w:cstheme="minorHAnsi"/>
          <w:color w:val="03050A"/>
          <w:lang w:eastAsia="en-IN"/>
        </w:rPr>
        <w:t>Surrendering of membership by the transferor entity</w:t>
      </w:r>
    </w:p>
    <w:p w14:paraId="1EF302EB" w14:textId="77777777" w:rsidR="00752AAF" w:rsidRPr="00DE2A36" w:rsidRDefault="00752AAF" w:rsidP="0022340D">
      <w:pPr>
        <w:pStyle w:val="ListParagraph"/>
        <w:numPr>
          <w:ilvl w:val="0"/>
          <w:numId w:val="3"/>
        </w:numPr>
        <w:shd w:val="clear" w:color="auto" w:fill="FFFFFF"/>
        <w:spacing w:after="75"/>
        <w:ind w:left="1276" w:hanging="142"/>
        <w:jc w:val="both"/>
        <w:rPr>
          <w:rFonts w:asciiTheme="minorHAnsi" w:hAnsiTheme="minorHAnsi" w:cstheme="minorHAnsi"/>
          <w:color w:val="03050A"/>
          <w:lang w:eastAsia="en-IN"/>
        </w:rPr>
      </w:pPr>
      <w:r w:rsidRPr="00DE2A36">
        <w:rPr>
          <w:rFonts w:asciiTheme="minorHAnsi" w:hAnsiTheme="minorHAnsi" w:cstheme="minorHAnsi"/>
          <w:color w:val="03050A"/>
          <w:lang w:eastAsia="en-IN"/>
        </w:rPr>
        <w:t>In case of partial transfer, BTA to include activities to be undertaken by the transferor.</w:t>
      </w:r>
    </w:p>
    <w:p w14:paraId="2AEDC90A" w14:textId="00FD9702" w:rsidR="0025320B" w:rsidRPr="00DC16B2" w:rsidRDefault="0025320B" w:rsidP="00DE2A36">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rPr>
        <w:t xml:space="preserve">The transferee entity will have to obtain </w:t>
      </w:r>
      <w:r w:rsidR="009A2194" w:rsidRPr="001E3D53">
        <w:rPr>
          <w:rFonts w:asciiTheme="minorHAnsi" w:hAnsiTheme="minorHAnsi" w:cstheme="minorHAnsi"/>
          <w:b/>
          <w:bCs/>
        </w:rPr>
        <w:t xml:space="preserve">positive </w:t>
      </w:r>
      <w:r w:rsidRPr="001E3D53">
        <w:rPr>
          <w:rFonts w:asciiTheme="minorHAnsi" w:hAnsiTheme="minorHAnsi" w:cstheme="minorHAnsi"/>
          <w:b/>
          <w:bCs/>
        </w:rPr>
        <w:t>c</w:t>
      </w:r>
      <w:r w:rsidRPr="00DE2A36">
        <w:rPr>
          <w:rFonts w:asciiTheme="minorHAnsi" w:hAnsiTheme="minorHAnsi" w:cstheme="minorHAnsi"/>
          <w:b/>
          <w:bCs/>
        </w:rPr>
        <w:t xml:space="preserve">onsent </w:t>
      </w:r>
      <w:r w:rsidRPr="00DE2A36">
        <w:rPr>
          <w:rFonts w:asciiTheme="minorHAnsi" w:hAnsiTheme="minorHAnsi" w:cstheme="minorHAnsi"/>
        </w:rPr>
        <w:t>from all the clients</w:t>
      </w:r>
      <w:r w:rsidR="004B2CD0">
        <w:rPr>
          <w:rFonts w:asciiTheme="minorHAnsi" w:hAnsiTheme="minorHAnsi" w:cstheme="minorHAnsi"/>
        </w:rPr>
        <w:t xml:space="preserve"> </w:t>
      </w:r>
      <w:r w:rsidRPr="00DE2A36">
        <w:rPr>
          <w:rFonts w:asciiTheme="minorHAnsi" w:hAnsiTheme="minorHAnsi" w:cstheme="minorHAnsi"/>
        </w:rPr>
        <w:t>of the transferor entity</w:t>
      </w:r>
      <w:r w:rsidR="009A2194">
        <w:rPr>
          <w:rFonts w:asciiTheme="minorHAnsi" w:hAnsiTheme="minorHAnsi" w:cstheme="minorHAnsi"/>
        </w:rPr>
        <w:t xml:space="preserve">, incase if liabilities are </w:t>
      </w:r>
      <w:r w:rsidR="00DC16B2">
        <w:rPr>
          <w:rFonts w:asciiTheme="minorHAnsi" w:hAnsiTheme="minorHAnsi" w:cstheme="minorHAnsi"/>
        </w:rPr>
        <w:t xml:space="preserve">not </w:t>
      </w:r>
      <w:r w:rsidR="009A2194">
        <w:rPr>
          <w:rFonts w:asciiTheme="minorHAnsi" w:hAnsiTheme="minorHAnsi" w:cstheme="minorHAnsi"/>
        </w:rPr>
        <w:t>getting transferred</w:t>
      </w:r>
      <w:r w:rsidRPr="00DE2A36">
        <w:rPr>
          <w:rFonts w:asciiTheme="minorHAnsi" w:hAnsiTheme="minorHAnsi" w:cstheme="minorHAnsi"/>
        </w:rPr>
        <w:t>. An undertaking in this regard shall be required to be submitted to Exchange. In case of non-receipt of confirmation, such client cannot be transferred to the transferee and has to be closed out. Additionally, post surrender the deposits will be subject to lock-in period of 3 years.</w:t>
      </w:r>
    </w:p>
    <w:p w14:paraId="3FA16640" w14:textId="770BD03B" w:rsidR="00DC16B2" w:rsidRPr="00400D01" w:rsidRDefault="00DC16B2" w:rsidP="00DE2A36">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C16B2">
        <w:rPr>
          <w:rFonts w:asciiTheme="minorHAnsi" w:hAnsiTheme="minorHAnsi" w:cstheme="minorHAnsi"/>
        </w:rPr>
        <w:t xml:space="preserve">The transferee entity will have to obtain </w:t>
      </w:r>
      <w:r w:rsidRPr="00DC16B2">
        <w:rPr>
          <w:rFonts w:asciiTheme="minorHAnsi" w:hAnsiTheme="minorHAnsi" w:cstheme="minorHAnsi"/>
          <w:b/>
          <w:bCs/>
        </w:rPr>
        <w:t xml:space="preserve">consent </w:t>
      </w:r>
      <w:r w:rsidRPr="00DC16B2">
        <w:rPr>
          <w:rFonts w:asciiTheme="minorHAnsi" w:hAnsiTheme="minorHAnsi" w:cstheme="minorHAnsi"/>
        </w:rPr>
        <w:t xml:space="preserve">from all the clients of the transferor entity, incase if liabilities are getting transferred. An undertaking in this regard shall be required to be submitted to Exchange. </w:t>
      </w:r>
    </w:p>
    <w:p w14:paraId="05E8659E" w14:textId="733A4F93" w:rsidR="00400D01" w:rsidRPr="00DC16B2" w:rsidRDefault="00400D01" w:rsidP="00DE2A36">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Pr>
          <w:rFonts w:asciiTheme="minorHAnsi" w:hAnsiTheme="minorHAnsi" w:cstheme="minorHAnsi"/>
        </w:rPr>
        <w:t xml:space="preserve">The transferee entity will have to obtain </w:t>
      </w:r>
      <w:r w:rsidRPr="008C357D">
        <w:rPr>
          <w:rFonts w:asciiTheme="minorHAnsi" w:hAnsiTheme="minorHAnsi" w:cstheme="minorHAnsi"/>
          <w:b/>
          <w:bCs/>
        </w:rPr>
        <w:t xml:space="preserve">positive </w:t>
      </w:r>
      <w:r w:rsidR="00F05498" w:rsidRPr="008C357D">
        <w:rPr>
          <w:rFonts w:asciiTheme="minorHAnsi" w:hAnsiTheme="minorHAnsi" w:cstheme="minorHAnsi"/>
          <w:b/>
          <w:bCs/>
        </w:rPr>
        <w:t>consent</w:t>
      </w:r>
      <w:r>
        <w:rPr>
          <w:rFonts w:asciiTheme="minorHAnsi" w:hAnsiTheme="minorHAnsi" w:cstheme="minorHAnsi"/>
        </w:rPr>
        <w:t xml:space="preserve"> </w:t>
      </w:r>
      <w:r w:rsidR="00F05498">
        <w:rPr>
          <w:rFonts w:asciiTheme="minorHAnsi" w:hAnsiTheme="minorHAnsi" w:cstheme="minorHAnsi"/>
        </w:rPr>
        <w:t>from all the Authorized Persons of the transferor entity. AP’s not giving the consent has to be cancelled</w:t>
      </w:r>
      <w:r w:rsidR="00F91862">
        <w:rPr>
          <w:rFonts w:asciiTheme="minorHAnsi" w:hAnsiTheme="minorHAnsi" w:cstheme="minorHAnsi"/>
        </w:rPr>
        <w:t xml:space="preserve"> on or before the effective date.</w:t>
      </w:r>
    </w:p>
    <w:p w14:paraId="2E32F8D9" w14:textId="26F2F813" w:rsidR="00752AAF" w:rsidRPr="00DE2A36" w:rsidRDefault="00AB751C" w:rsidP="00DE2A36">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rPr>
        <w:t>If liabilities are not transferred at the time of business transfer, the deposits will be subject to lock-in period of 3 years. If past, present and future liabilities are getting transferred, then lock-in of 3 years shall not be applicable and deposits shall be released subject to receipt of no objection from SEBI and other departments of the Exchange and surrender approval from SEBI</w:t>
      </w:r>
      <w:r w:rsidR="00DE2A36">
        <w:rPr>
          <w:rFonts w:asciiTheme="minorHAnsi" w:hAnsiTheme="minorHAnsi" w:cstheme="minorHAnsi"/>
        </w:rPr>
        <w:t>.</w:t>
      </w:r>
    </w:p>
    <w:p w14:paraId="087A9277" w14:textId="69CA3C95" w:rsidR="000A0F2C" w:rsidRPr="00DE2A36" w:rsidRDefault="000A0F2C" w:rsidP="00DE2A36">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color w:val="03050A"/>
          <w:lang w:eastAsia="en-IN"/>
        </w:rPr>
        <w:t xml:space="preserve">The promoter group of the merged entity shall comprise of only the </w:t>
      </w:r>
      <w:r w:rsidR="00FF4CED">
        <w:rPr>
          <w:rFonts w:asciiTheme="minorHAnsi" w:hAnsiTheme="minorHAnsi" w:cstheme="minorHAnsi"/>
          <w:color w:val="03050A"/>
          <w:lang w:eastAsia="en-IN"/>
        </w:rPr>
        <w:t>promoters of</w:t>
      </w:r>
      <w:r w:rsidR="00603946">
        <w:rPr>
          <w:rFonts w:asciiTheme="minorHAnsi" w:hAnsiTheme="minorHAnsi" w:cstheme="minorHAnsi"/>
          <w:color w:val="03050A"/>
          <w:lang w:eastAsia="en-IN"/>
        </w:rPr>
        <w:t xml:space="preserve"> the</w:t>
      </w:r>
      <w:r w:rsidRPr="00DE2A36">
        <w:rPr>
          <w:rFonts w:asciiTheme="minorHAnsi" w:hAnsiTheme="minorHAnsi" w:cstheme="minorHAnsi"/>
          <w:color w:val="03050A"/>
          <w:lang w:eastAsia="en-IN"/>
        </w:rPr>
        <w:t xml:space="preserve"> Trading Members.</w:t>
      </w:r>
    </w:p>
    <w:p w14:paraId="615195A0" w14:textId="2168D073" w:rsidR="000A0F2C" w:rsidRPr="00DE2A36" w:rsidRDefault="000A0F2C" w:rsidP="00B10404">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color w:val="03050A"/>
          <w:lang w:eastAsia="en-IN"/>
        </w:rPr>
        <w:lastRenderedPageBreak/>
        <w:t>When two or more individual Trading Members merge to form either a partnership firm or a corporate, the dominant group of partners/</w:t>
      </w:r>
      <w:r w:rsidR="00984CD1">
        <w:rPr>
          <w:rFonts w:asciiTheme="minorHAnsi" w:hAnsiTheme="minorHAnsi" w:cstheme="minorHAnsi"/>
          <w:color w:val="03050A"/>
          <w:lang w:eastAsia="en-IN"/>
        </w:rPr>
        <w:t>promoter</w:t>
      </w:r>
      <w:r w:rsidRPr="00DE2A36">
        <w:rPr>
          <w:rFonts w:asciiTheme="minorHAnsi" w:hAnsiTheme="minorHAnsi" w:cstheme="minorHAnsi"/>
          <w:color w:val="03050A"/>
          <w:lang w:eastAsia="en-IN"/>
        </w:rPr>
        <w:t xml:space="preserve"> in such emerging Trading Member entity shall comprise of any or all such individual Trading Members</w:t>
      </w:r>
    </w:p>
    <w:p w14:paraId="11E61663" w14:textId="4F334434" w:rsidR="000A0F2C" w:rsidRPr="00DE2A36" w:rsidRDefault="000A0F2C" w:rsidP="00B10404">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color w:val="03050A"/>
          <w:lang w:eastAsia="en-IN"/>
        </w:rPr>
        <w:t>In case a merger between two or more individual/partnership firms, Trading Members resulting in the formation of a new partnership firm or corporate; the dominant group of partners/</w:t>
      </w:r>
      <w:r w:rsidR="00984CD1">
        <w:rPr>
          <w:rFonts w:asciiTheme="minorHAnsi" w:hAnsiTheme="minorHAnsi" w:cstheme="minorHAnsi"/>
          <w:color w:val="03050A"/>
          <w:lang w:eastAsia="en-IN"/>
        </w:rPr>
        <w:t xml:space="preserve">promoter </w:t>
      </w:r>
      <w:r w:rsidRPr="00DE2A36">
        <w:rPr>
          <w:rFonts w:asciiTheme="minorHAnsi" w:hAnsiTheme="minorHAnsi" w:cstheme="minorHAnsi"/>
          <w:color w:val="03050A"/>
          <w:lang w:eastAsia="en-IN"/>
        </w:rPr>
        <w:t>shareholders in such emerging firms or corporate Trading Member shall comprise of any or all the dominant partners/</w:t>
      </w:r>
      <w:r w:rsidR="00984CD1">
        <w:rPr>
          <w:rFonts w:asciiTheme="minorHAnsi" w:hAnsiTheme="minorHAnsi" w:cstheme="minorHAnsi"/>
          <w:color w:val="03050A"/>
          <w:lang w:eastAsia="en-IN"/>
        </w:rPr>
        <w:t xml:space="preserve">promoter </w:t>
      </w:r>
      <w:r w:rsidRPr="00DE2A36">
        <w:rPr>
          <w:rFonts w:asciiTheme="minorHAnsi" w:hAnsiTheme="minorHAnsi" w:cstheme="minorHAnsi"/>
          <w:color w:val="03050A"/>
          <w:lang w:eastAsia="en-IN"/>
        </w:rPr>
        <w:t>shareholders of such merging Trading Members.</w:t>
      </w:r>
    </w:p>
    <w:p w14:paraId="42F57FB9" w14:textId="48052C3C" w:rsidR="000A0F2C" w:rsidRPr="00DE2A36" w:rsidRDefault="000A0F2C" w:rsidP="00B10404">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color w:val="03050A"/>
          <w:lang w:eastAsia="en-IN"/>
        </w:rPr>
        <w:t xml:space="preserve">In case of merger between two or more corporate Trading Members, the </w:t>
      </w:r>
      <w:r w:rsidR="006E5987">
        <w:rPr>
          <w:rFonts w:asciiTheme="minorHAnsi" w:hAnsiTheme="minorHAnsi" w:cstheme="minorHAnsi"/>
          <w:color w:val="03050A"/>
          <w:lang w:eastAsia="en-IN"/>
        </w:rPr>
        <w:t>promoter</w:t>
      </w:r>
      <w:r w:rsidRPr="00DE2A36">
        <w:rPr>
          <w:rFonts w:asciiTheme="minorHAnsi" w:hAnsiTheme="minorHAnsi" w:cstheme="minorHAnsi"/>
          <w:color w:val="03050A"/>
          <w:lang w:eastAsia="en-IN"/>
        </w:rPr>
        <w:t xml:space="preserve"> group of shareholders in such emerging corporate Trading Member shall comprise of any or all the </w:t>
      </w:r>
      <w:r w:rsidR="006E5987">
        <w:rPr>
          <w:rFonts w:asciiTheme="minorHAnsi" w:hAnsiTheme="minorHAnsi" w:cstheme="minorHAnsi"/>
          <w:color w:val="03050A"/>
          <w:lang w:eastAsia="en-IN"/>
        </w:rPr>
        <w:t>promoters</w:t>
      </w:r>
      <w:r w:rsidRPr="00DE2A36">
        <w:rPr>
          <w:rFonts w:asciiTheme="minorHAnsi" w:hAnsiTheme="minorHAnsi" w:cstheme="minorHAnsi"/>
          <w:color w:val="03050A"/>
          <w:lang w:eastAsia="en-IN"/>
        </w:rPr>
        <w:t xml:space="preserve"> of such merging Trading Members.</w:t>
      </w:r>
    </w:p>
    <w:p w14:paraId="5F31B90B" w14:textId="097EE6D2" w:rsidR="000A0F2C" w:rsidRPr="00DE2A36" w:rsidRDefault="000A0F2C" w:rsidP="00B10404">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color w:val="03050A"/>
          <w:lang w:eastAsia="en-IN"/>
        </w:rPr>
        <w:t>The merged entity shall at all times consist of at least one or more Members of the promoter group of the merging Trading Members who would hold at least 51% of its total paid up capital (40% in case of listed companies)/profit sharing ratio.</w:t>
      </w:r>
    </w:p>
    <w:p w14:paraId="1194B6DD" w14:textId="77777777" w:rsidR="000A0F2C" w:rsidRPr="00DE2A36" w:rsidRDefault="000A0F2C" w:rsidP="00B10404">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color w:val="03050A"/>
          <w:lang w:eastAsia="en-IN"/>
        </w:rPr>
        <w:t>The scheme of merger shall provide for the appropriation/transfer of the entire amount of security deposits of the extinguishing Trading Members with the Exchange/NSE Clearing in favour of the merged entity. Such deposits of the extinguishing Trading Members will be refunded to the merged entity only after the expiry of the respective lock in period of each of the extinguishing Trading Members. No interest shall be paid by the Exchange/NSE Clearing on such deposits. These deposits may however be considered towards net worth/capital adequacy requirements/exposure limits of the merged entity, as also for margin purposes.</w:t>
      </w:r>
    </w:p>
    <w:p w14:paraId="1137E3ED" w14:textId="77777777" w:rsidR="000A0F2C" w:rsidRPr="00DE2A36" w:rsidRDefault="000A0F2C" w:rsidP="00B10404">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color w:val="03050A"/>
          <w:lang w:eastAsia="en-IN"/>
        </w:rPr>
        <w:t>The scheme of merger shall provide that the merged entity shall honour all the financial commitments/obligations/liabilities of all the extinguishing Trading Members that devolved prior to merger or may devolve subsequent to the merger and shall be treated as if it were the liability of the merged entity.</w:t>
      </w:r>
    </w:p>
    <w:p w14:paraId="1834C260" w14:textId="77777777" w:rsidR="000A0F2C" w:rsidRPr="00DE2A36" w:rsidRDefault="000A0F2C" w:rsidP="00B10404">
      <w:pPr>
        <w:numPr>
          <w:ilvl w:val="0"/>
          <w:numId w:val="2"/>
        </w:numPr>
        <w:shd w:val="clear" w:color="auto" w:fill="FFFFFF"/>
        <w:tabs>
          <w:tab w:val="clear" w:pos="720"/>
        </w:tabs>
        <w:spacing w:before="360"/>
        <w:ind w:left="993" w:hanging="284"/>
        <w:jc w:val="both"/>
        <w:rPr>
          <w:rFonts w:asciiTheme="minorHAnsi" w:hAnsiTheme="minorHAnsi" w:cstheme="minorHAnsi"/>
          <w:color w:val="03050A"/>
          <w:lang w:eastAsia="en-IN"/>
        </w:rPr>
      </w:pPr>
      <w:r w:rsidRPr="00DE2A36">
        <w:rPr>
          <w:rFonts w:asciiTheme="minorHAnsi" w:hAnsiTheme="minorHAnsi" w:cstheme="minorHAnsi"/>
          <w:color w:val="03050A"/>
          <w:lang w:eastAsia="en-IN"/>
        </w:rPr>
        <w:t xml:space="preserve">In case of violations, disciplinary actions shall be taken as per the Exchange circular no. NSE/INSP/53530 dated September 02, 2022. </w:t>
      </w:r>
    </w:p>
    <w:p w14:paraId="5C9362AC" w14:textId="77777777" w:rsidR="00C73A52" w:rsidRPr="00DE2A36" w:rsidRDefault="00C73A52" w:rsidP="003019C8">
      <w:pPr>
        <w:autoSpaceDE w:val="0"/>
        <w:autoSpaceDN w:val="0"/>
        <w:adjustRightInd w:val="0"/>
        <w:spacing w:line="240" w:lineRule="atLeast"/>
        <w:jc w:val="center"/>
        <w:rPr>
          <w:rFonts w:asciiTheme="minorHAnsi" w:hAnsiTheme="minorHAnsi" w:cstheme="minorHAnsi"/>
          <w:b/>
          <w:bCs/>
        </w:rPr>
      </w:pPr>
    </w:p>
    <w:p w14:paraId="2AFF20B8" w14:textId="77777777" w:rsidR="003019C8" w:rsidRPr="00DE2A36" w:rsidRDefault="003019C8" w:rsidP="003019C8">
      <w:pPr>
        <w:autoSpaceDE w:val="0"/>
        <w:autoSpaceDN w:val="0"/>
        <w:adjustRightInd w:val="0"/>
        <w:spacing w:line="240" w:lineRule="atLeast"/>
        <w:jc w:val="both"/>
        <w:rPr>
          <w:rFonts w:asciiTheme="minorHAnsi" w:hAnsiTheme="minorHAnsi" w:cstheme="minorHAnsi"/>
          <w:b/>
          <w:bCs/>
        </w:rPr>
      </w:pPr>
    </w:p>
    <w:p w14:paraId="6AF15DE2" w14:textId="77777777" w:rsidR="00107038" w:rsidRDefault="00107038">
      <w:pPr>
        <w:spacing w:after="160" w:line="259" w:lineRule="auto"/>
        <w:rPr>
          <w:rFonts w:asciiTheme="minorHAnsi" w:hAnsiTheme="minorHAnsi" w:cstheme="minorHAnsi"/>
          <w:b/>
          <w:bCs/>
        </w:rPr>
      </w:pPr>
      <w:r>
        <w:rPr>
          <w:rFonts w:asciiTheme="minorHAnsi" w:hAnsiTheme="minorHAnsi" w:cstheme="minorHAnsi"/>
          <w:b/>
          <w:bCs/>
        </w:rPr>
        <w:br w:type="page"/>
      </w:r>
    </w:p>
    <w:p w14:paraId="4F184B98" w14:textId="081C6A52" w:rsidR="00441F94" w:rsidRPr="008404BA" w:rsidRDefault="00441F94" w:rsidP="00441F94">
      <w:pPr>
        <w:autoSpaceDE w:val="0"/>
        <w:autoSpaceDN w:val="0"/>
        <w:adjustRightInd w:val="0"/>
        <w:spacing w:line="240" w:lineRule="atLeast"/>
        <w:ind w:left="720"/>
        <w:jc w:val="center"/>
        <w:rPr>
          <w:rFonts w:asciiTheme="minorHAnsi" w:hAnsiTheme="minorHAnsi" w:cstheme="minorHAnsi"/>
          <w:b/>
          <w:bCs/>
          <w:u w:val="single"/>
        </w:rPr>
      </w:pPr>
      <w:r w:rsidRPr="008404BA">
        <w:rPr>
          <w:rFonts w:asciiTheme="minorHAnsi" w:hAnsiTheme="minorHAnsi" w:cstheme="minorHAnsi"/>
          <w:b/>
          <w:bCs/>
          <w:u w:val="single"/>
        </w:rPr>
        <w:lastRenderedPageBreak/>
        <w:t>FAQ</w:t>
      </w:r>
      <w:r w:rsidR="008404BA" w:rsidRPr="008404BA">
        <w:rPr>
          <w:rFonts w:asciiTheme="minorHAnsi" w:hAnsiTheme="minorHAnsi" w:cstheme="minorHAnsi"/>
          <w:b/>
          <w:bCs/>
          <w:u w:val="single"/>
        </w:rPr>
        <w:t xml:space="preserve"> for business transfer/ merger/demerger/amalgamation without change in control</w:t>
      </w:r>
    </w:p>
    <w:p w14:paraId="60CDC5F8" w14:textId="77777777" w:rsidR="00441F94" w:rsidRPr="00DE2A36" w:rsidRDefault="00441F94" w:rsidP="00441F94">
      <w:pPr>
        <w:autoSpaceDE w:val="0"/>
        <w:autoSpaceDN w:val="0"/>
        <w:adjustRightInd w:val="0"/>
        <w:spacing w:line="240" w:lineRule="atLeast"/>
        <w:ind w:left="720"/>
        <w:jc w:val="both"/>
        <w:rPr>
          <w:rFonts w:asciiTheme="minorHAnsi" w:hAnsiTheme="minorHAnsi" w:cstheme="minorHAnsi"/>
        </w:rPr>
      </w:pPr>
    </w:p>
    <w:p w14:paraId="42C75A0D" w14:textId="5492127A" w:rsidR="00C94A79" w:rsidRDefault="00C94A79" w:rsidP="003019C8">
      <w:pPr>
        <w:numPr>
          <w:ilvl w:val="0"/>
          <w:numId w:val="1"/>
        </w:numPr>
        <w:autoSpaceDE w:val="0"/>
        <w:autoSpaceDN w:val="0"/>
        <w:adjustRightInd w:val="0"/>
        <w:spacing w:line="240" w:lineRule="atLeast"/>
        <w:jc w:val="both"/>
        <w:rPr>
          <w:rFonts w:asciiTheme="minorHAnsi" w:hAnsiTheme="minorHAnsi" w:cstheme="minorHAnsi"/>
        </w:rPr>
      </w:pPr>
      <w:r>
        <w:rPr>
          <w:rFonts w:asciiTheme="minorHAnsi" w:hAnsiTheme="minorHAnsi" w:cstheme="minorHAnsi"/>
        </w:rPr>
        <w:t>Who shall submit the application to the Exchange?</w:t>
      </w:r>
    </w:p>
    <w:p w14:paraId="3F969C02" w14:textId="084018B3" w:rsidR="00C94A79" w:rsidRDefault="00C94A79" w:rsidP="00C94A79">
      <w:pPr>
        <w:autoSpaceDE w:val="0"/>
        <w:autoSpaceDN w:val="0"/>
        <w:adjustRightInd w:val="0"/>
        <w:spacing w:line="240" w:lineRule="atLeast"/>
        <w:ind w:left="720"/>
        <w:jc w:val="both"/>
        <w:rPr>
          <w:rFonts w:asciiTheme="minorHAnsi" w:hAnsiTheme="minorHAnsi" w:cstheme="minorHAnsi"/>
        </w:rPr>
      </w:pPr>
      <w:r w:rsidRPr="00C74DBE">
        <w:rPr>
          <w:rFonts w:asciiTheme="minorHAnsi" w:hAnsiTheme="minorHAnsi" w:cstheme="minorHAnsi"/>
          <w:b/>
          <w:bCs/>
        </w:rPr>
        <w:t>Answer:</w:t>
      </w:r>
      <w:r>
        <w:rPr>
          <w:rFonts w:asciiTheme="minorHAnsi" w:hAnsiTheme="minorHAnsi" w:cstheme="minorHAnsi"/>
        </w:rPr>
        <w:t xml:space="preserve"> </w:t>
      </w:r>
      <w:r w:rsidR="001A3DFB">
        <w:rPr>
          <w:rFonts w:asciiTheme="minorHAnsi" w:hAnsiTheme="minorHAnsi" w:cstheme="minorHAnsi"/>
        </w:rPr>
        <w:t xml:space="preserve">i) </w:t>
      </w:r>
      <w:r>
        <w:rPr>
          <w:rFonts w:asciiTheme="minorHAnsi" w:hAnsiTheme="minorHAnsi" w:cstheme="minorHAnsi"/>
        </w:rPr>
        <w:t>NSE application has to be submitted by the Trading Member</w:t>
      </w:r>
      <w:r w:rsidR="008910EF">
        <w:rPr>
          <w:rFonts w:asciiTheme="minorHAnsi" w:hAnsiTheme="minorHAnsi" w:cstheme="minorHAnsi"/>
        </w:rPr>
        <w:t xml:space="preserve">. In case if </w:t>
      </w:r>
      <w:r w:rsidR="001A3DFB">
        <w:rPr>
          <w:rFonts w:asciiTheme="minorHAnsi" w:hAnsiTheme="minorHAnsi" w:cstheme="minorHAnsi"/>
        </w:rPr>
        <w:t>transferor</w:t>
      </w:r>
      <w:r w:rsidR="008910EF">
        <w:rPr>
          <w:rFonts w:asciiTheme="minorHAnsi" w:hAnsiTheme="minorHAnsi" w:cstheme="minorHAnsi"/>
        </w:rPr>
        <w:t xml:space="preserve"> and transferee both are trading members</w:t>
      </w:r>
      <w:r w:rsidR="001A3DFB">
        <w:rPr>
          <w:rFonts w:asciiTheme="minorHAnsi" w:hAnsiTheme="minorHAnsi" w:cstheme="minorHAnsi"/>
        </w:rPr>
        <w:t xml:space="preserve"> of NSE</w:t>
      </w:r>
      <w:r w:rsidR="006B76B8">
        <w:rPr>
          <w:rFonts w:asciiTheme="minorHAnsi" w:hAnsiTheme="minorHAnsi" w:cstheme="minorHAnsi"/>
        </w:rPr>
        <w:t>, then</w:t>
      </w:r>
      <w:r w:rsidR="008910EF">
        <w:rPr>
          <w:rFonts w:asciiTheme="minorHAnsi" w:hAnsiTheme="minorHAnsi" w:cstheme="minorHAnsi"/>
        </w:rPr>
        <w:t xml:space="preserve"> both have to submit the application separately.</w:t>
      </w:r>
    </w:p>
    <w:p w14:paraId="28286CBE" w14:textId="5ACE35B3" w:rsidR="001A3DFB" w:rsidRDefault="001A3DFB" w:rsidP="001A3DFB">
      <w:pPr>
        <w:autoSpaceDE w:val="0"/>
        <w:autoSpaceDN w:val="0"/>
        <w:adjustRightInd w:val="0"/>
        <w:spacing w:line="240" w:lineRule="atLeast"/>
        <w:ind w:left="1560"/>
        <w:jc w:val="both"/>
        <w:rPr>
          <w:rFonts w:asciiTheme="minorHAnsi" w:hAnsiTheme="minorHAnsi" w:cstheme="minorHAnsi"/>
        </w:rPr>
      </w:pPr>
      <w:r>
        <w:rPr>
          <w:rFonts w:asciiTheme="minorHAnsi" w:hAnsiTheme="minorHAnsi" w:cstheme="minorHAnsi"/>
        </w:rPr>
        <w:t>ii) SEBI application has to be submitted by the transferor and transferee both</w:t>
      </w:r>
      <w:r w:rsidR="00541E01">
        <w:rPr>
          <w:rFonts w:asciiTheme="minorHAnsi" w:hAnsiTheme="minorHAnsi" w:cstheme="minorHAnsi"/>
        </w:rPr>
        <w:t xml:space="preserve"> irrespective of membership status</w:t>
      </w:r>
      <w:r>
        <w:rPr>
          <w:rFonts w:asciiTheme="minorHAnsi" w:hAnsiTheme="minorHAnsi" w:cstheme="minorHAnsi"/>
        </w:rPr>
        <w:t>.</w:t>
      </w:r>
    </w:p>
    <w:p w14:paraId="629FD90B" w14:textId="77777777" w:rsidR="00C94A79" w:rsidRDefault="00C94A79" w:rsidP="00C94A79">
      <w:pPr>
        <w:autoSpaceDE w:val="0"/>
        <w:autoSpaceDN w:val="0"/>
        <w:adjustRightInd w:val="0"/>
        <w:spacing w:line="240" w:lineRule="atLeast"/>
        <w:ind w:left="720"/>
        <w:jc w:val="both"/>
        <w:rPr>
          <w:rFonts w:asciiTheme="minorHAnsi" w:hAnsiTheme="minorHAnsi" w:cstheme="minorHAnsi"/>
        </w:rPr>
      </w:pPr>
    </w:p>
    <w:p w14:paraId="189701BF" w14:textId="74D676FE" w:rsidR="003019C8" w:rsidRPr="00DE2A36" w:rsidRDefault="003019C8" w:rsidP="003019C8">
      <w:pPr>
        <w:numPr>
          <w:ilvl w:val="0"/>
          <w:numId w:val="1"/>
        </w:numPr>
        <w:autoSpaceDE w:val="0"/>
        <w:autoSpaceDN w:val="0"/>
        <w:adjustRightInd w:val="0"/>
        <w:spacing w:line="240" w:lineRule="atLeast"/>
        <w:jc w:val="both"/>
        <w:rPr>
          <w:rFonts w:asciiTheme="minorHAnsi" w:hAnsiTheme="minorHAnsi" w:cstheme="minorHAnsi"/>
        </w:rPr>
      </w:pPr>
      <w:r w:rsidRPr="00DE2A36">
        <w:rPr>
          <w:rFonts w:asciiTheme="minorHAnsi" w:hAnsiTheme="minorHAnsi" w:cstheme="minorHAnsi"/>
        </w:rPr>
        <w:t>Who shall be signing the application and other documents?</w:t>
      </w:r>
    </w:p>
    <w:p w14:paraId="742ABA20" w14:textId="29594E42" w:rsidR="003019C8" w:rsidRPr="00DE2A36" w:rsidRDefault="00C74DBE" w:rsidP="003019C8">
      <w:pPr>
        <w:autoSpaceDE w:val="0"/>
        <w:autoSpaceDN w:val="0"/>
        <w:adjustRightInd w:val="0"/>
        <w:spacing w:line="240" w:lineRule="atLeast"/>
        <w:ind w:left="720"/>
        <w:jc w:val="both"/>
        <w:rPr>
          <w:rFonts w:asciiTheme="minorHAnsi" w:hAnsiTheme="minorHAnsi" w:cstheme="minorHAnsi"/>
        </w:rPr>
      </w:pPr>
      <w:r w:rsidRPr="00C74DBE">
        <w:rPr>
          <w:rFonts w:asciiTheme="minorHAnsi" w:hAnsiTheme="minorHAnsi" w:cstheme="minorHAnsi"/>
          <w:b/>
          <w:bCs/>
        </w:rPr>
        <w:t>Answer:</w:t>
      </w:r>
      <w:r w:rsidR="003019C8" w:rsidRPr="00DE2A36">
        <w:rPr>
          <w:rFonts w:asciiTheme="minorHAnsi" w:hAnsiTheme="minorHAnsi" w:cstheme="minorHAnsi"/>
        </w:rPr>
        <w:t xml:space="preserve"> designated director or director and compliance officer can sign the documents. </w:t>
      </w:r>
    </w:p>
    <w:p w14:paraId="2633513E" w14:textId="77777777" w:rsidR="003019C8" w:rsidRPr="00DE2A36" w:rsidRDefault="003019C8" w:rsidP="003019C8">
      <w:pPr>
        <w:autoSpaceDE w:val="0"/>
        <w:autoSpaceDN w:val="0"/>
        <w:adjustRightInd w:val="0"/>
        <w:spacing w:line="240" w:lineRule="atLeast"/>
        <w:ind w:left="720"/>
        <w:jc w:val="both"/>
        <w:rPr>
          <w:rFonts w:asciiTheme="minorHAnsi" w:hAnsiTheme="minorHAnsi" w:cstheme="minorHAnsi"/>
        </w:rPr>
      </w:pPr>
    </w:p>
    <w:p w14:paraId="19C0757E" w14:textId="66BC5F03" w:rsidR="003019C8" w:rsidRPr="00DE2A36" w:rsidRDefault="003019C8" w:rsidP="003019C8">
      <w:pPr>
        <w:numPr>
          <w:ilvl w:val="0"/>
          <w:numId w:val="1"/>
        </w:numPr>
        <w:autoSpaceDE w:val="0"/>
        <w:autoSpaceDN w:val="0"/>
        <w:adjustRightInd w:val="0"/>
        <w:spacing w:line="240" w:lineRule="atLeast"/>
        <w:jc w:val="both"/>
        <w:rPr>
          <w:rFonts w:asciiTheme="minorHAnsi" w:hAnsiTheme="minorHAnsi" w:cstheme="minorHAnsi"/>
        </w:rPr>
      </w:pPr>
      <w:r w:rsidRPr="00DE2A36">
        <w:rPr>
          <w:rFonts w:asciiTheme="minorHAnsi" w:hAnsiTheme="minorHAnsi" w:cstheme="minorHAnsi"/>
        </w:rPr>
        <w:t>Who shall be providing the Annexure B</w:t>
      </w:r>
      <w:r w:rsidR="006B76B8">
        <w:rPr>
          <w:rFonts w:asciiTheme="minorHAnsi" w:hAnsiTheme="minorHAnsi" w:cstheme="minorHAnsi"/>
        </w:rPr>
        <w:t xml:space="preserve"> of the Checklist?</w:t>
      </w:r>
    </w:p>
    <w:p w14:paraId="07681E92" w14:textId="69175745" w:rsidR="003019C8" w:rsidRPr="00DE2A36" w:rsidRDefault="00C74DBE" w:rsidP="003019C8">
      <w:pPr>
        <w:autoSpaceDE w:val="0"/>
        <w:autoSpaceDN w:val="0"/>
        <w:adjustRightInd w:val="0"/>
        <w:spacing w:line="240" w:lineRule="atLeast"/>
        <w:ind w:left="720"/>
        <w:jc w:val="both"/>
        <w:rPr>
          <w:rFonts w:asciiTheme="minorHAnsi" w:hAnsiTheme="minorHAnsi" w:cstheme="minorHAnsi"/>
        </w:rPr>
      </w:pPr>
      <w:r w:rsidRPr="00C74DBE">
        <w:rPr>
          <w:rFonts w:asciiTheme="minorHAnsi" w:hAnsiTheme="minorHAnsi" w:cstheme="minorHAnsi"/>
          <w:b/>
          <w:bCs/>
        </w:rPr>
        <w:t>Answer:</w:t>
      </w:r>
      <w:r w:rsidR="003019C8" w:rsidRPr="00DE2A36">
        <w:rPr>
          <w:rFonts w:asciiTheme="minorHAnsi" w:hAnsiTheme="minorHAnsi" w:cstheme="minorHAnsi"/>
        </w:rPr>
        <w:t xml:space="preserve"> Annexure B has to be provided by the member entity in case the merger is between non-member and member entity or vice versa. If the merger is between two or more member entities, both have to provide Annexure B.</w:t>
      </w:r>
    </w:p>
    <w:p w14:paraId="40697891" w14:textId="77777777" w:rsidR="003019C8" w:rsidRPr="00DE2A36" w:rsidRDefault="003019C8" w:rsidP="003019C8">
      <w:pPr>
        <w:autoSpaceDE w:val="0"/>
        <w:autoSpaceDN w:val="0"/>
        <w:adjustRightInd w:val="0"/>
        <w:spacing w:line="240" w:lineRule="atLeast"/>
        <w:ind w:left="720"/>
        <w:jc w:val="both"/>
        <w:rPr>
          <w:rFonts w:asciiTheme="minorHAnsi" w:hAnsiTheme="minorHAnsi" w:cstheme="minorHAnsi"/>
        </w:rPr>
      </w:pPr>
    </w:p>
    <w:p w14:paraId="29432EFD" w14:textId="13832E49" w:rsidR="003019C8" w:rsidRPr="00DE2A36" w:rsidRDefault="00F60E06" w:rsidP="003019C8">
      <w:pPr>
        <w:numPr>
          <w:ilvl w:val="0"/>
          <w:numId w:val="1"/>
        </w:numPr>
        <w:autoSpaceDE w:val="0"/>
        <w:autoSpaceDN w:val="0"/>
        <w:adjustRightInd w:val="0"/>
        <w:spacing w:line="240" w:lineRule="atLeast"/>
        <w:jc w:val="both"/>
        <w:rPr>
          <w:rFonts w:asciiTheme="minorHAnsi" w:hAnsiTheme="minorHAnsi" w:cstheme="minorHAnsi"/>
        </w:rPr>
      </w:pPr>
      <w:r>
        <w:rPr>
          <w:rFonts w:asciiTheme="minorHAnsi" w:hAnsiTheme="minorHAnsi" w:cstheme="minorHAnsi"/>
        </w:rPr>
        <w:t xml:space="preserve">Can the </w:t>
      </w:r>
      <w:r w:rsidR="003019C8" w:rsidRPr="00DE2A36">
        <w:rPr>
          <w:rFonts w:asciiTheme="minorHAnsi" w:hAnsiTheme="minorHAnsi" w:cstheme="minorHAnsi"/>
        </w:rPr>
        <w:t>Shareholding pattern of the transferor and transferee</w:t>
      </w:r>
      <w:r>
        <w:rPr>
          <w:rFonts w:asciiTheme="minorHAnsi" w:hAnsiTheme="minorHAnsi" w:cstheme="minorHAnsi"/>
        </w:rPr>
        <w:t xml:space="preserve"> be self certified?</w:t>
      </w:r>
    </w:p>
    <w:p w14:paraId="116E715C" w14:textId="0E4132D0" w:rsidR="003019C8" w:rsidRPr="00DE2A36" w:rsidRDefault="00C74DBE" w:rsidP="003019C8">
      <w:pPr>
        <w:autoSpaceDE w:val="0"/>
        <w:autoSpaceDN w:val="0"/>
        <w:adjustRightInd w:val="0"/>
        <w:spacing w:line="240" w:lineRule="atLeast"/>
        <w:ind w:left="720"/>
        <w:jc w:val="both"/>
        <w:rPr>
          <w:rFonts w:asciiTheme="minorHAnsi" w:hAnsiTheme="minorHAnsi" w:cstheme="minorHAnsi"/>
        </w:rPr>
      </w:pPr>
      <w:r w:rsidRPr="00C74DBE">
        <w:rPr>
          <w:rFonts w:asciiTheme="minorHAnsi" w:hAnsiTheme="minorHAnsi" w:cstheme="minorHAnsi"/>
          <w:b/>
          <w:bCs/>
        </w:rPr>
        <w:t>Answer:</w:t>
      </w:r>
      <w:r w:rsidR="003019C8" w:rsidRPr="00DE2A36">
        <w:rPr>
          <w:rFonts w:asciiTheme="minorHAnsi" w:hAnsiTheme="minorHAnsi" w:cstheme="minorHAnsi"/>
        </w:rPr>
        <w:t xml:space="preserve"> All the shareholding pattern</w:t>
      </w:r>
      <w:r w:rsidR="00FC3A07" w:rsidRPr="00DE2A36">
        <w:rPr>
          <w:rFonts w:asciiTheme="minorHAnsi" w:hAnsiTheme="minorHAnsi" w:cstheme="minorHAnsi"/>
        </w:rPr>
        <w:t>s should be certified by the practicing</w:t>
      </w:r>
      <w:r w:rsidR="003019C8" w:rsidRPr="00DE2A36">
        <w:rPr>
          <w:rFonts w:asciiTheme="minorHAnsi" w:hAnsiTheme="minorHAnsi" w:cstheme="minorHAnsi"/>
        </w:rPr>
        <w:t xml:space="preserve"> CA</w:t>
      </w:r>
      <w:r w:rsidR="00FC3A07" w:rsidRPr="00DE2A36">
        <w:rPr>
          <w:rFonts w:asciiTheme="minorHAnsi" w:hAnsiTheme="minorHAnsi" w:cstheme="minorHAnsi"/>
        </w:rPr>
        <w:t>/CS</w:t>
      </w:r>
      <w:r w:rsidR="003019C8" w:rsidRPr="00DE2A36">
        <w:rPr>
          <w:rFonts w:asciiTheme="minorHAnsi" w:hAnsiTheme="minorHAnsi" w:cstheme="minorHAnsi"/>
        </w:rPr>
        <w:t xml:space="preserve"> </w:t>
      </w:r>
    </w:p>
    <w:p w14:paraId="54FF9AE8" w14:textId="77777777" w:rsidR="003019C8" w:rsidRPr="00DE2A36" w:rsidRDefault="003019C8" w:rsidP="003019C8">
      <w:pPr>
        <w:autoSpaceDE w:val="0"/>
        <w:autoSpaceDN w:val="0"/>
        <w:adjustRightInd w:val="0"/>
        <w:spacing w:line="240" w:lineRule="atLeast"/>
        <w:ind w:left="720"/>
        <w:jc w:val="both"/>
        <w:rPr>
          <w:rFonts w:asciiTheme="minorHAnsi" w:hAnsiTheme="minorHAnsi" w:cstheme="minorHAnsi"/>
        </w:rPr>
      </w:pPr>
    </w:p>
    <w:p w14:paraId="6CE690DE" w14:textId="04430BD7" w:rsidR="003019C8" w:rsidRPr="00DE2A36" w:rsidRDefault="003019C8" w:rsidP="003019C8">
      <w:pPr>
        <w:numPr>
          <w:ilvl w:val="0"/>
          <w:numId w:val="1"/>
        </w:numPr>
        <w:autoSpaceDE w:val="0"/>
        <w:autoSpaceDN w:val="0"/>
        <w:adjustRightInd w:val="0"/>
        <w:spacing w:line="240" w:lineRule="atLeast"/>
        <w:jc w:val="both"/>
        <w:rPr>
          <w:rFonts w:asciiTheme="minorHAnsi" w:hAnsiTheme="minorHAnsi" w:cstheme="minorHAnsi"/>
        </w:rPr>
      </w:pPr>
      <w:r w:rsidRPr="00DE2A36">
        <w:rPr>
          <w:rFonts w:asciiTheme="minorHAnsi" w:hAnsiTheme="minorHAnsi" w:cstheme="minorHAnsi"/>
        </w:rPr>
        <w:t>If one of entity is a non-member, which entity to submit the SEBI application</w:t>
      </w:r>
      <w:r w:rsidR="00F60E06">
        <w:rPr>
          <w:rFonts w:asciiTheme="minorHAnsi" w:hAnsiTheme="minorHAnsi" w:cstheme="minorHAnsi"/>
        </w:rPr>
        <w:t>?</w:t>
      </w:r>
    </w:p>
    <w:p w14:paraId="645085A3" w14:textId="21D02CAA" w:rsidR="003019C8" w:rsidRPr="00DE2A36" w:rsidRDefault="00C74DBE" w:rsidP="003019C8">
      <w:pPr>
        <w:autoSpaceDE w:val="0"/>
        <w:autoSpaceDN w:val="0"/>
        <w:adjustRightInd w:val="0"/>
        <w:spacing w:line="240" w:lineRule="atLeast"/>
        <w:ind w:left="720"/>
        <w:jc w:val="both"/>
        <w:rPr>
          <w:rFonts w:asciiTheme="minorHAnsi" w:hAnsiTheme="minorHAnsi" w:cstheme="minorHAnsi"/>
        </w:rPr>
      </w:pPr>
      <w:r w:rsidRPr="00C74DBE">
        <w:rPr>
          <w:rFonts w:asciiTheme="minorHAnsi" w:hAnsiTheme="minorHAnsi" w:cstheme="minorHAnsi"/>
          <w:b/>
          <w:bCs/>
        </w:rPr>
        <w:t>Answer:</w:t>
      </w:r>
      <w:r w:rsidR="003019C8" w:rsidRPr="00DE2A36">
        <w:rPr>
          <w:rFonts w:asciiTheme="minorHAnsi" w:hAnsiTheme="minorHAnsi" w:cstheme="minorHAnsi"/>
        </w:rPr>
        <w:t xml:space="preserve"> SEBI application has to be submitted by transferor and transferee both irrespective of the membership status</w:t>
      </w:r>
      <w:r w:rsidR="00391C80" w:rsidRPr="00DE2A36">
        <w:rPr>
          <w:rFonts w:asciiTheme="minorHAnsi" w:hAnsiTheme="minorHAnsi" w:cstheme="minorHAnsi"/>
        </w:rPr>
        <w:t>. NSE application to be submitted by the member entity</w:t>
      </w:r>
      <w:r w:rsidR="008F4A8B" w:rsidRPr="00DE2A36">
        <w:rPr>
          <w:rFonts w:asciiTheme="minorHAnsi" w:hAnsiTheme="minorHAnsi" w:cstheme="minorHAnsi"/>
        </w:rPr>
        <w:t xml:space="preserve">, incase transfer is between two member entities, both have to </w:t>
      </w:r>
      <w:r w:rsidR="00E8630A" w:rsidRPr="00DE2A36">
        <w:rPr>
          <w:rFonts w:asciiTheme="minorHAnsi" w:hAnsiTheme="minorHAnsi" w:cstheme="minorHAnsi"/>
        </w:rPr>
        <w:t>submit the application.</w:t>
      </w:r>
    </w:p>
    <w:p w14:paraId="0023BB20" w14:textId="77777777" w:rsidR="003019C8" w:rsidRPr="00DE2A36" w:rsidRDefault="003019C8" w:rsidP="003019C8">
      <w:pPr>
        <w:autoSpaceDE w:val="0"/>
        <w:autoSpaceDN w:val="0"/>
        <w:adjustRightInd w:val="0"/>
        <w:spacing w:line="240" w:lineRule="atLeast"/>
        <w:ind w:left="720"/>
        <w:jc w:val="both"/>
        <w:rPr>
          <w:rFonts w:asciiTheme="minorHAnsi" w:hAnsiTheme="minorHAnsi" w:cstheme="minorHAnsi"/>
        </w:rPr>
      </w:pPr>
    </w:p>
    <w:p w14:paraId="75CE663B" w14:textId="5847D087" w:rsidR="003019C8" w:rsidRPr="00DE2A36" w:rsidRDefault="00F60E06" w:rsidP="003019C8">
      <w:pPr>
        <w:numPr>
          <w:ilvl w:val="0"/>
          <w:numId w:val="1"/>
        </w:numPr>
        <w:autoSpaceDE w:val="0"/>
        <w:autoSpaceDN w:val="0"/>
        <w:adjustRightInd w:val="0"/>
        <w:spacing w:line="240" w:lineRule="atLeast"/>
        <w:jc w:val="both"/>
        <w:rPr>
          <w:rFonts w:asciiTheme="minorHAnsi" w:hAnsiTheme="minorHAnsi" w:cstheme="minorHAnsi"/>
        </w:rPr>
      </w:pPr>
      <w:r>
        <w:rPr>
          <w:rFonts w:asciiTheme="minorHAnsi" w:hAnsiTheme="minorHAnsi" w:cstheme="minorHAnsi"/>
        </w:rPr>
        <w:t>Whether d</w:t>
      </w:r>
      <w:r w:rsidR="003019C8" w:rsidRPr="00DE2A36">
        <w:rPr>
          <w:rFonts w:asciiTheme="minorHAnsi" w:hAnsiTheme="minorHAnsi" w:cstheme="minorHAnsi"/>
        </w:rPr>
        <w:t xml:space="preserve">raft scheme/business transfer agreement to be submitted </w:t>
      </w:r>
      <w:r>
        <w:rPr>
          <w:rFonts w:asciiTheme="minorHAnsi" w:hAnsiTheme="minorHAnsi" w:cstheme="minorHAnsi"/>
        </w:rPr>
        <w:t xml:space="preserve">to Exchaneg </w:t>
      </w:r>
      <w:r w:rsidR="003019C8" w:rsidRPr="00DE2A36">
        <w:rPr>
          <w:rFonts w:asciiTheme="minorHAnsi" w:hAnsiTheme="minorHAnsi" w:cstheme="minorHAnsi"/>
        </w:rPr>
        <w:t>or the scheme filed with RD/NCLT/executed BTA.</w:t>
      </w:r>
    </w:p>
    <w:p w14:paraId="0A34DAB4" w14:textId="35DB1A16" w:rsidR="003019C8" w:rsidRPr="00DE2A36" w:rsidRDefault="00C74DBE" w:rsidP="003019C8">
      <w:pPr>
        <w:autoSpaceDE w:val="0"/>
        <w:autoSpaceDN w:val="0"/>
        <w:adjustRightInd w:val="0"/>
        <w:spacing w:line="240" w:lineRule="atLeast"/>
        <w:ind w:left="720"/>
        <w:jc w:val="both"/>
        <w:rPr>
          <w:rFonts w:asciiTheme="minorHAnsi" w:hAnsiTheme="minorHAnsi" w:cstheme="minorHAnsi"/>
        </w:rPr>
      </w:pPr>
      <w:r w:rsidRPr="00C74DBE">
        <w:rPr>
          <w:rFonts w:asciiTheme="minorHAnsi" w:hAnsiTheme="minorHAnsi" w:cstheme="minorHAnsi"/>
          <w:b/>
          <w:bCs/>
        </w:rPr>
        <w:t>Answer:</w:t>
      </w:r>
      <w:r w:rsidR="003019C8" w:rsidRPr="00DE2A36">
        <w:rPr>
          <w:rFonts w:asciiTheme="minorHAnsi" w:hAnsiTheme="minorHAnsi" w:cstheme="minorHAnsi"/>
        </w:rPr>
        <w:t xml:space="preserve"> Draft scheme/BTA to be submitted while applying for prior approval.</w:t>
      </w:r>
    </w:p>
    <w:p w14:paraId="28B6D13B" w14:textId="77777777" w:rsidR="003019C8" w:rsidRPr="00DE2A36" w:rsidRDefault="003019C8" w:rsidP="003019C8">
      <w:pPr>
        <w:autoSpaceDE w:val="0"/>
        <w:autoSpaceDN w:val="0"/>
        <w:adjustRightInd w:val="0"/>
        <w:spacing w:line="240" w:lineRule="atLeast"/>
        <w:ind w:left="720"/>
        <w:jc w:val="both"/>
        <w:rPr>
          <w:rFonts w:asciiTheme="minorHAnsi" w:hAnsiTheme="minorHAnsi" w:cstheme="minorHAnsi"/>
        </w:rPr>
      </w:pPr>
    </w:p>
    <w:p w14:paraId="452F654E" w14:textId="77FD2B86" w:rsidR="00F60E06" w:rsidRDefault="00F60E06" w:rsidP="003019C8">
      <w:pPr>
        <w:numPr>
          <w:ilvl w:val="0"/>
          <w:numId w:val="1"/>
        </w:numPr>
        <w:autoSpaceDE w:val="0"/>
        <w:autoSpaceDN w:val="0"/>
        <w:adjustRightInd w:val="0"/>
        <w:spacing w:line="240" w:lineRule="atLeast"/>
        <w:jc w:val="both"/>
        <w:rPr>
          <w:rFonts w:asciiTheme="minorHAnsi" w:hAnsiTheme="minorHAnsi" w:cstheme="minorHAnsi"/>
        </w:rPr>
      </w:pPr>
      <w:r>
        <w:rPr>
          <w:rFonts w:asciiTheme="minorHAnsi" w:hAnsiTheme="minorHAnsi" w:cstheme="minorHAnsi"/>
        </w:rPr>
        <w:t>When will the deposit of merging member</w:t>
      </w:r>
      <w:r w:rsidR="004A5315">
        <w:rPr>
          <w:rFonts w:asciiTheme="minorHAnsi" w:hAnsiTheme="minorHAnsi" w:cstheme="minorHAnsi"/>
        </w:rPr>
        <w:t>/transfer</w:t>
      </w:r>
      <w:r w:rsidR="00CD1CCE">
        <w:rPr>
          <w:rFonts w:asciiTheme="minorHAnsi" w:hAnsiTheme="minorHAnsi" w:cstheme="minorHAnsi"/>
        </w:rPr>
        <w:t>or</w:t>
      </w:r>
      <w:r>
        <w:rPr>
          <w:rFonts w:asciiTheme="minorHAnsi" w:hAnsiTheme="minorHAnsi" w:cstheme="minorHAnsi"/>
        </w:rPr>
        <w:t xml:space="preserve"> be released? </w:t>
      </w:r>
    </w:p>
    <w:p w14:paraId="088593DC" w14:textId="0F8BDB10" w:rsidR="003019C8" w:rsidRPr="00DE2A36" w:rsidRDefault="004A5315" w:rsidP="004A5315">
      <w:pPr>
        <w:autoSpaceDE w:val="0"/>
        <w:autoSpaceDN w:val="0"/>
        <w:adjustRightInd w:val="0"/>
        <w:spacing w:line="240" w:lineRule="atLeast"/>
        <w:ind w:left="720"/>
        <w:jc w:val="both"/>
        <w:rPr>
          <w:rFonts w:asciiTheme="minorHAnsi" w:hAnsiTheme="minorHAnsi" w:cstheme="minorHAnsi"/>
        </w:rPr>
      </w:pPr>
      <w:r w:rsidRPr="004A5315">
        <w:rPr>
          <w:rFonts w:asciiTheme="minorHAnsi" w:hAnsiTheme="minorHAnsi" w:cstheme="minorHAnsi"/>
          <w:b/>
          <w:bCs/>
        </w:rPr>
        <w:t>Answer:</w:t>
      </w:r>
      <w:r w:rsidR="003019C8" w:rsidRPr="00DE2A36">
        <w:rPr>
          <w:rFonts w:asciiTheme="minorHAnsi" w:hAnsiTheme="minorHAnsi" w:cstheme="minorHAnsi"/>
        </w:rPr>
        <w:t xml:space="preserve"> deposits shall be released after the lock-in period of 3years in case of non-transfer of liabilities. If past and present liabilities are transferred, then the deposits are not submitted to 3 years lock-in.</w:t>
      </w:r>
    </w:p>
    <w:p w14:paraId="07862715" w14:textId="77777777" w:rsidR="003019C8" w:rsidRPr="00DE2A36" w:rsidRDefault="003019C8" w:rsidP="003019C8">
      <w:pPr>
        <w:autoSpaceDE w:val="0"/>
        <w:autoSpaceDN w:val="0"/>
        <w:adjustRightInd w:val="0"/>
        <w:spacing w:line="240" w:lineRule="atLeast"/>
        <w:ind w:left="720"/>
        <w:jc w:val="both"/>
        <w:rPr>
          <w:rFonts w:asciiTheme="minorHAnsi" w:hAnsiTheme="minorHAnsi" w:cstheme="minorHAnsi"/>
        </w:rPr>
      </w:pPr>
    </w:p>
    <w:p w14:paraId="40960108" w14:textId="08D2295E" w:rsidR="003019C8" w:rsidRPr="00DE2A36" w:rsidRDefault="003019C8" w:rsidP="003019C8">
      <w:pPr>
        <w:numPr>
          <w:ilvl w:val="0"/>
          <w:numId w:val="1"/>
        </w:numPr>
        <w:autoSpaceDE w:val="0"/>
        <w:autoSpaceDN w:val="0"/>
        <w:adjustRightInd w:val="0"/>
        <w:spacing w:line="240" w:lineRule="atLeast"/>
        <w:jc w:val="both"/>
        <w:rPr>
          <w:rFonts w:asciiTheme="minorHAnsi" w:hAnsiTheme="minorHAnsi" w:cstheme="minorHAnsi"/>
        </w:rPr>
      </w:pPr>
      <w:r w:rsidRPr="00DE2A36">
        <w:rPr>
          <w:rFonts w:asciiTheme="minorHAnsi" w:hAnsiTheme="minorHAnsi" w:cstheme="minorHAnsi"/>
        </w:rPr>
        <w:t xml:space="preserve">Is SEBI approval required in case of </w:t>
      </w:r>
      <w:r w:rsidR="00EA5D9A" w:rsidRPr="00DE2A36">
        <w:rPr>
          <w:rFonts w:asciiTheme="minorHAnsi" w:hAnsiTheme="minorHAnsi" w:cstheme="minorHAnsi"/>
        </w:rPr>
        <w:t xml:space="preserve">merger/de-merger/business transfer </w:t>
      </w:r>
      <w:r w:rsidRPr="00DE2A36">
        <w:rPr>
          <w:rFonts w:asciiTheme="minorHAnsi" w:hAnsiTheme="minorHAnsi" w:cstheme="minorHAnsi"/>
        </w:rPr>
        <w:t>without change in control</w:t>
      </w:r>
    </w:p>
    <w:p w14:paraId="55B276C8" w14:textId="472ED323" w:rsidR="003019C8" w:rsidRPr="00DE2A36" w:rsidRDefault="00C74DBE" w:rsidP="003019C8">
      <w:pPr>
        <w:pStyle w:val="ListParagraph"/>
        <w:rPr>
          <w:rFonts w:asciiTheme="minorHAnsi" w:hAnsiTheme="minorHAnsi" w:cstheme="minorHAnsi"/>
        </w:rPr>
      </w:pPr>
      <w:r w:rsidRPr="00C74DBE">
        <w:rPr>
          <w:rFonts w:asciiTheme="minorHAnsi" w:hAnsiTheme="minorHAnsi" w:cstheme="minorHAnsi"/>
          <w:b/>
          <w:bCs/>
        </w:rPr>
        <w:t>Answer:</w:t>
      </w:r>
      <w:r w:rsidR="003019C8" w:rsidRPr="00DE2A36">
        <w:rPr>
          <w:rFonts w:asciiTheme="minorHAnsi" w:hAnsiTheme="minorHAnsi" w:cstheme="minorHAnsi"/>
        </w:rPr>
        <w:t xml:space="preserve"> Yes, SEBI approval is required in case of </w:t>
      </w:r>
      <w:r w:rsidR="00EA5D9A" w:rsidRPr="00DE2A36">
        <w:rPr>
          <w:rFonts w:asciiTheme="minorHAnsi" w:hAnsiTheme="minorHAnsi" w:cstheme="minorHAnsi"/>
        </w:rPr>
        <w:t>merger/de-merger/business transfer not amounting to change in control</w:t>
      </w:r>
      <w:r w:rsidR="003019C8" w:rsidRPr="00DE2A36">
        <w:rPr>
          <w:rFonts w:asciiTheme="minorHAnsi" w:hAnsiTheme="minorHAnsi" w:cstheme="minorHAnsi"/>
        </w:rPr>
        <w:t>.</w:t>
      </w:r>
    </w:p>
    <w:p w14:paraId="4E0060B5" w14:textId="77777777" w:rsidR="003019C8" w:rsidRPr="00DE2A36" w:rsidRDefault="003019C8" w:rsidP="003019C8">
      <w:pPr>
        <w:pStyle w:val="ListParagraph"/>
        <w:rPr>
          <w:rFonts w:asciiTheme="minorHAnsi" w:hAnsiTheme="minorHAnsi" w:cstheme="minorHAnsi"/>
        </w:rPr>
      </w:pPr>
    </w:p>
    <w:p w14:paraId="0D06CB2E" w14:textId="77777777" w:rsidR="003019C8" w:rsidRPr="00DE2A36" w:rsidRDefault="003019C8" w:rsidP="003019C8">
      <w:pPr>
        <w:pStyle w:val="ListParagraph"/>
        <w:rPr>
          <w:rFonts w:asciiTheme="minorHAnsi" w:hAnsiTheme="minorHAnsi" w:cstheme="minorHAnsi"/>
          <w:b/>
          <w:bCs/>
        </w:rPr>
      </w:pPr>
    </w:p>
    <w:p w14:paraId="3A83BF8E" w14:textId="70D13D7C" w:rsidR="003019C8" w:rsidRPr="00DE2A36" w:rsidRDefault="00C960C1" w:rsidP="003019C8">
      <w:pPr>
        <w:numPr>
          <w:ilvl w:val="0"/>
          <w:numId w:val="1"/>
        </w:numPr>
        <w:autoSpaceDE w:val="0"/>
        <w:autoSpaceDN w:val="0"/>
        <w:adjustRightInd w:val="0"/>
        <w:spacing w:line="240" w:lineRule="atLeast"/>
        <w:jc w:val="both"/>
        <w:rPr>
          <w:rFonts w:asciiTheme="minorHAnsi" w:hAnsiTheme="minorHAnsi" w:cstheme="minorHAnsi"/>
        </w:rPr>
      </w:pPr>
      <w:r w:rsidRPr="00DE2A36">
        <w:rPr>
          <w:rFonts w:asciiTheme="minorHAnsi" w:hAnsiTheme="minorHAnsi" w:cstheme="minorHAnsi"/>
        </w:rPr>
        <w:t xml:space="preserve">Do we need to submit proposed shareholding pattern and/or </w:t>
      </w:r>
      <w:r w:rsidR="00D668C6" w:rsidRPr="00DE2A36">
        <w:rPr>
          <w:rFonts w:asciiTheme="minorHAnsi" w:hAnsiTheme="minorHAnsi" w:cstheme="minorHAnsi"/>
        </w:rPr>
        <w:t>proposed networth certificate i</w:t>
      </w:r>
      <w:r w:rsidR="003019C8" w:rsidRPr="00DE2A36">
        <w:rPr>
          <w:rFonts w:asciiTheme="minorHAnsi" w:hAnsiTheme="minorHAnsi" w:cstheme="minorHAnsi"/>
        </w:rPr>
        <w:t xml:space="preserve">f there’s no change in </w:t>
      </w:r>
      <w:r w:rsidR="00D668C6" w:rsidRPr="00DE2A36">
        <w:rPr>
          <w:rFonts w:asciiTheme="minorHAnsi" w:hAnsiTheme="minorHAnsi" w:cstheme="minorHAnsi"/>
        </w:rPr>
        <w:t>current</w:t>
      </w:r>
      <w:r w:rsidR="003019C8" w:rsidRPr="00DE2A36">
        <w:rPr>
          <w:rFonts w:asciiTheme="minorHAnsi" w:hAnsiTheme="minorHAnsi" w:cstheme="minorHAnsi"/>
        </w:rPr>
        <w:t xml:space="preserve"> shareholding pattern and/or </w:t>
      </w:r>
      <w:r w:rsidR="00D668C6" w:rsidRPr="00DE2A36">
        <w:rPr>
          <w:rFonts w:asciiTheme="minorHAnsi" w:hAnsiTheme="minorHAnsi" w:cstheme="minorHAnsi"/>
        </w:rPr>
        <w:t>current</w:t>
      </w:r>
      <w:r w:rsidR="003019C8" w:rsidRPr="00DE2A36">
        <w:rPr>
          <w:rFonts w:asciiTheme="minorHAnsi" w:hAnsiTheme="minorHAnsi" w:cstheme="minorHAnsi"/>
        </w:rPr>
        <w:t xml:space="preserve"> networth </w:t>
      </w:r>
      <w:r w:rsidR="00D668C6" w:rsidRPr="00DE2A36">
        <w:rPr>
          <w:rFonts w:asciiTheme="minorHAnsi" w:hAnsiTheme="minorHAnsi" w:cstheme="minorHAnsi"/>
        </w:rPr>
        <w:t>pursuant to the proposed merger/de-merger/business transfer</w:t>
      </w:r>
      <w:r w:rsidR="00642F0A" w:rsidRPr="00DE2A36">
        <w:rPr>
          <w:rFonts w:asciiTheme="minorHAnsi" w:hAnsiTheme="minorHAnsi" w:cstheme="minorHAnsi"/>
        </w:rPr>
        <w:t xml:space="preserve"> </w:t>
      </w:r>
      <w:r w:rsidR="003019C8" w:rsidRPr="00DE2A36">
        <w:rPr>
          <w:rFonts w:asciiTheme="minorHAnsi" w:hAnsiTheme="minorHAnsi" w:cstheme="minorHAnsi"/>
        </w:rPr>
        <w:t xml:space="preserve">of the </w:t>
      </w:r>
      <w:r w:rsidRPr="00DE2A36">
        <w:rPr>
          <w:rFonts w:asciiTheme="minorHAnsi" w:hAnsiTheme="minorHAnsi" w:cstheme="minorHAnsi"/>
        </w:rPr>
        <w:t>transferee entity</w:t>
      </w:r>
      <w:r w:rsidR="00642F0A" w:rsidRPr="00DE2A36">
        <w:rPr>
          <w:rFonts w:asciiTheme="minorHAnsi" w:hAnsiTheme="minorHAnsi" w:cstheme="minorHAnsi"/>
        </w:rPr>
        <w:t>?</w:t>
      </w:r>
    </w:p>
    <w:p w14:paraId="3544C2EA" w14:textId="02458278" w:rsidR="00642F0A" w:rsidRPr="00DE2A36" w:rsidRDefault="00C74DBE" w:rsidP="00642F0A">
      <w:pPr>
        <w:autoSpaceDE w:val="0"/>
        <w:autoSpaceDN w:val="0"/>
        <w:adjustRightInd w:val="0"/>
        <w:spacing w:line="240" w:lineRule="atLeast"/>
        <w:ind w:left="720"/>
        <w:jc w:val="both"/>
        <w:rPr>
          <w:rFonts w:asciiTheme="minorHAnsi" w:hAnsiTheme="minorHAnsi" w:cstheme="minorHAnsi"/>
        </w:rPr>
      </w:pPr>
      <w:r w:rsidRPr="00C74DBE">
        <w:rPr>
          <w:rFonts w:asciiTheme="minorHAnsi" w:hAnsiTheme="minorHAnsi" w:cstheme="minorHAnsi"/>
          <w:b/>
          <w:bCs/>
        </w:rPr>
        <w:t>Answer:</w:t>
      </w:r>
      <w:r w:rsidR="00642F0A" w:rsidRPr="00DE2A36">
        <w:rPr>
          <w:rFonts w:asciiTheme="minorHAnsi" w:hAnsiTheme="minorHAnsi" w:cstheme="minorHAnsi"/>
        </w:rPr>
        <w:t xml:space="preserve"> Yes, proposed networth and the proposed shareholding pattern has to be submitted even if there’s no change pursuant to the proposed transfer of business/merger/demerger.</w:t>
      </w:r>
    </w:p>
    <w:p w14:paraId="7692BF98" w14:textId="77777777" w:rsidR="00EA5D9A" w:rsidRPr="00DE2A36" w:rsidRDefault="00EA5D9A" w:rsidP="00642F0A">
      <w:pPr>
        <w:autoSpaceDE w:val="0"/>
        <w:autoSpaceDN w:val="0"/>
        <w:adjustRightInd w:val="0"/>
        <w:spacing w:line="240" w:lineRule="atLeast"/>
        <w:ind w:left="720"/>
        <w:jc w:val="both"/>
        <w:rPr>
          <w:rFonts w:asciiTheme="minorHAnsi" w:hAnsiTheme="minorHAnsi" w:cstheme="minorHAnsi"/>
        </w:rPr>
      </w:pPr>
    </w:p>
    <w:p w14:paraId="373D6A6E" w14:textId="494EB3B6" w:rsidR="00EA5D9A" w:rsidRPr="00DE2A36" w:rsidRDefault="00EA5D9A" w:rsidP="00EA5D9A">
      <w:pPr>
        <w:pStyle w:val="ListParagraph"/>
        <w:numPr>
          <w:ilvl w:val="0"/>
          <w:numId w:val="1"/>
        </w:numPr>
        <w:autoSpaceDE w:val="0"/>
        <w:autoSpaceDN w:val="0"/>
        <w:adjustRightInd w:val="0"/>
        <w:spacing w:line="240" w:lineRule="atLeast"/>
        <w:jc w:val="both"/>
        <w:rPr>
          <w:rFonts w:asciiTheme="minorHAnsi" w:hAnsiTheme="minorHAnsi" w:cstheme="minorHAnsi"/>
        </w:rPr>
      </w:pPr>
      <w:r w:rsidRPr="00DE2A36">
        <w:rPr>
          <w:rFonts w:asciiTheme="minorHAnsi" w:hAnsiTheme="minorHAnsi" w:cstheme="minorHAnsi"/>
        </w:rPr>
        <w:lastRenderedPageBreak/>
        <w:t>Do we have to status reports of all the exchanges and depositories?</w:t>
      </w:r>
    </w:p>
    <w:p w14:paraId="21C68865" w14:textId="40BAE322" w:rsidR="00EA5D9A" w:rsidRPr="00DE2A36" w:rsidRDefault="00C74DBE" w:rsidP="00EA5D9A">
      <w:pPr>
        <w:pStyle w:val="ListParagraph"/>
        <w:autoSpaceDE w:val="0"/>
        <w:autoSpaceDN w:val="0"/>
        <w:adjustRightInd w:val="0"/>
        <w:spacing w:line="240" w:lineRule="atLeast"/>
        <w:jc w:val="both"/>
        <w:rPr>
          <w:rFonts w:asciiTheme="minorHAnsi" w:hAnsiTheme="minorHAnsi" w:cstheme="minorHAnsi"/>
        </w:rPr>
      </w:pPr>
      <w:r w:rsidRPr="00C74DBE">
        <w:rPr>
          <w:rFonts w:asciiTheme="minorHAnsi" w:hAnsiTheme="minorHAnsi" w:cstheme="minorHAnsi"/>
          <w:b/>
          <w:bCs/>
        </w:rPr>
        <w:t>Answer:</w:t>
      </w:r>
      <w:r w:rsidR="00EA5D9A" w:rsidRPr="00DE2A36">
        <w:rPr>
          <w:rFonts w:asciiTheme="minorHAnsi" w:hAnsiTheme="minorHAnsi" w:cstheme="minorHAnsi"/>
        </w:rPr>
        <w:t xml:space="preserve"> Yes, status reports </w:t>
      </w:r>
      <w:r w:rsidR="00B8572B" w:rsidRPr="00DE2A36">
        <w:rPr>
          <w:rFonts w:asciiTheme="minorHAnsi" w:hAnsiTheme="minorHAnsi" w:cstheme="minorHAnsi"/>
        </w:rPr>
        <w:t>of all the Exchanges</w:t>
      </w:r>
      <w:r w:rsidR="005F1E2D" w:rsidRPr="00DE2A36">
        <w:rPr>
          <w:rFonts w:asciiTheme="minorHAnsi" w:hAnsiTheme="minorHAnsi" w:cstheme="minorHAnsi"/>
        </w:rPr>
        <w:t xml:space="preserve"> including the NSE and depositories</w:t>
      </w:r>
      <w:r w:rsidR="00B8572B" w:rsidRPr="00DE2A36">
        <w:rPr>
          <w:rFonts w:asciiTheme="minorHAnsi" w:hAnsiTheme="minorHAnsi" w:cstheme="minorHAnsi"/>
        </w:rPr>
        <w:t xml:space="preserve">, wherever member is registered, </w:t>
      </w:r>
      <w:r w:rsidR="00EA5D9A" w:rsidRPr="00DE2A36">
        <w:rPr>
          <w:rFonts w:asciiTheme="minorHAnsi" w:hAnsiTheme="minorHAnsi" w:cstheme="minorHAnsi"/>
        </w:rPr>
        <w:t>has to be submitted</w:t>
      </w:r>
      <w:r w:rsidR="005F1E2D" w:rsidRPr="00DE2A36">
        <w:rPr>
          <w:rFonts w:asciiTheme="minorHAnsi" w:hAnsiTheme="minorHAnsi" w:cstheme="minorHAnsi"/>
        </w:rPr>
        <w:t xml:space="preserve">. </w:t>
      </w:r>
      <w:r w:rsidR="00F60E06">
        <w:rPr>
          <w:rFonts w:asciiTheme="minorHAnsi" w:hAnsiTheme="minorHAnsi" w:cstheme="minorHAnsi"/>
        </w:rPr>
        <w:t>In case</w:t>
      </w:r>
      <w:r w:rsidR="005F1E2D" w:rsidRPr="00DE2A36">
        <w:rPr>
          <w:rFonts w:asciiTheme="minorHAnsi" w:hAnsiTheme="minorHAnsi" w:cstheme="minorHAnsi"/>
        </w:rPr>
        <w:t xml:space="preserve"> member has applied for surrender, then you may submit the surrender letter.</w:t>
      </w:r>
    </w:p>
    <w:p w14:paraId="2A10A704" w14:textId="77777777" w:rsidR="0092610C" w:rsidRPr="00DE2A36" w:rsidRDefault="0092610C" w:rsidP="00EA5D9A">
      <w:pPr>
        <w:pStyle w:val="ListParagraph"/>
        <w:autoSpaceDE w:val="0"/>
        <w:autoSpaceDN w:val="0"/>
        <w:adjustRightInd w:val="0"/>
        <w:spacing w:line="240" w:lineRule="atLeast"/>
        <w:jc w:val="both"/>
        <w:rPr>
          <w:rFonts w:asciiTheme="minorHAnsi" w:hAnsiTheme="minorHAnsi" w:cstheme="minorHAnsi"/>
        </w:rPr>
      </w:pPr>
    </w:p>
    <w:p w14:paraId="55F87C9F" w14:textId="77777777" w:rsidR="0092610C" w:rsidRPr="00DE2A36" w:rsidRDefault="0092610C" w:rsidP="00EA5D9A">
      <w:pPr>
        <w:pStyle w:val="ListParagraph"/>
        <w:autoSpaceDE w:val="0"/>
        <w:autoSpaceDN w:val="0"/>
        <w:adjustRightInd w:val="0"/>
        <w:spacing w:line="240" w:lineRule="atLeast"/>
        <w:jc w:val="both"/>
        <w:rPr>
          <w:rFonts w:asciiTheme="minorHAnsi" w:hAnsiTheme="minorHAnsi" w:cstheme="minorHAnsi"/>
        </w:rPr>
      </w:pPr>
    </w:p>
    <w:p w14:paraId="3FD1C461" w14:textId="69D67AE6" w:rsidR="00EA5D9A" w:rsidRPr="00DE2A36" w:rsidRDefault="0092610C" w:rsidP="0092610C">
      <w:pPr>
        <w:pStyle w:val="ListParagraph"/>
        <w:numPr>
          <w:ilvl w:val="0"/>
          <w:numId w:val="1"/>
        </w:numPr>
        <w:autoSpaceDE w:val="0"/>
        <w:autoSpaceDN w:val="0"/>
        <w:adjustRightInd w:val="0"/>
        <w:spacing w:line="240" w:lineRule="atLeast"/>
        <w:jc w:val="both"/>
        <w:rPr>
          <w:rFonts w:asciiTheme="minorHAnsi" w:hAnsiTheme="minorHAnsi" w:cstheme="minorHAnsi"/>
        </w:rPr>
      </w:pPr>
      <w:r w:rsidRPr="00DE2A36">
        <w:rPr>
          <w:rFonts w:asciiTheme="minorHAnsi" w:hAnsiTheme="minorHAnsi" w:cstheme="minorHAnsi"/>
        </w:rPr>
        <w:t xml:space="preserve">If </w:t>
      </w:r>
      <w:r w:rsidR="007E278E" w:rsidRPr="00DE2A36">
        <w:rPr>
          <w:rFonts w:asciiTheme="minorHAnsi" w:hAnsiTheme="minorHAnsi" w:cstheme="minorHAnsi"/>
        </w:rPr>
        <w:t>a member</w:t>
      </w:r>
      <w:r w:rsidRPr="00DE2A36">
        <w:rPr>
          <w:rFonts w:asciiTheme="minorHAnsi" w:hAnsiTheme="minorHAnsi" w:cstheme="minorHAnsi"/>
        </w:rPr>
        <w:t xml:space="preserve"> is not active in any one of a Exchange but is registered as on the date of application, should we submit the Status reports.</w:t>
      </w:r>
    </w:p>
    <w:p w14:paraId="5B8F8CA3" w14:textId="03F18042" w:rsidR="0092610C" w:rsidRPr="00DE2A36" w:rsidRDefault="00C74DBE" w:rsidP="0092610C">
      <w:pPr>
        <w:pStyle w:val="ListParagraph"/>
        <w:autoSpaceDE w:val="0"/>
        <w:autoSpaceDN w:val="0"/>
        <w:adjustRightInd w:val="0"/>
        <w:spacing w:line="240" w:lineRule="atLeast"/>
        <w:jc w:val="both"/>
        <w:rPr>
          <w:rFonts w:asciiTheme="minorHAnsi" w:hAnsiTheme="minorHAnsi" w:cstheme="minorHAnsi"/>
        </w:rPr>
      </w:pPr>
      <w:r w:rsidRPr="00C74DBE">
        <w:rPr>
          <w:rFonts w:asciiTheme="minorHAnsi" w:hAnsiTheme="minorHAnsi" w:cstheme="minorHAnsi"/>
          <w:b/>
          <w:bCs/>
        </w:rPr>
        <w:t>Answer:</w:t>
      </w:r>
      <w:r>
        <w:rPr>
          <w:rFonts w:asciiTheme="minorHAnsi" w:hAnsiTheme="minorHAnsi" w:cstheme="minorHAnsi"/>
          <w:b/>
          <w:bCs/>
        </w:rPr>
        <w:t xml:space="preserve"> </w:t>
      </w:r>
      <w:r w:rsidR="0092610C" w:rsidRPr="00DE2A36">
        <w:rPr>
          <w:rFonts w:asciiTheme="minorHAnsi" w:hAnsiTheme="minorHAnsi" w:cstheme="minorHAnsi"/>
        </w:rPr>
        <w:t xml:space="preserve">Yes. If </w:t>
      </w:r>
      <w:r w:rsidR="007E278E" w:rsidRPr="00DE2A36">
        <w:rPr>
          <w:rFonts w:asciiTheme="minorHAnsi" w:hAnsiTheme="minorHAnsi" w:cstheme="minorHAnsi"/>
        </w:rPr>
        <w:t>a member</w:t>
      </w:r>
      <w:r w:rsidR="0092610C" w:rsidRPr="00DE2A36">
        <w:rPr>
          <w:rFonts w:asciiTheme="minorHAnsi" w:hAnsiTheme="minorHAnsi" w:cstheme="minorHAnsi"/>
        </w:rPr>
        <w:t xml:space="preserve"> is registered in a Exchange and is inactive, then also status report of the said Exchange has to be </w:t>
      </w:r>
      <w:r w:rsidR="007E278E" w:rsidRPr="00DE2A36">
        <w:rPr>
          <w:rFonts w:asciiTheme="minorHAnsi" w:hAnsiTheme="minorHAnsi" w:cstheme="minorHAnsi"/>
        </w:rPr>
        <w:t>submitted.</w:t>
      </w:r>
    </w:p>
    <w:p w14:paraId="5EB86C1E" w14:textId="77777777" w:rsidR="007E278E" w:rsidRPr="00DE2A36" w:rsidRDefault="007E278E" w:rsidP="0092610C">
      <w:pPr>
        <w:pStyle w:val="ListParagraph"/>
        <w:autoSpaceDE w:val="0"/>
        <w:autoSpaceDN w:val="0"/>
        <w:adjustRightInd w:val="0"/>
        <w:spacing w:line="240" w:lineRule="atLeast"/>
        <w:jc w:val="both"/>
        <w:rPr>
          <w:rFonts w:asciiTheme="minorHAnsi" w:hAnsiTheme="minorHAnsi" w:cstheme="minorHAnsi"/>
        </w:rPr>
      </w:pPr>
    </w:p>
    <w:p w14:paraId="1E1A67D1" w14:textId="77777777" w:rsidR="007E278E" w:rsidRPr="00DE2A36" w:rsidRDefault="007E278E" w:rsidP="0092610C">
      <w:pPr>
        <w:pStyle w:val="ListParagraph"/>
        <w:autoSpaceDE w:val="0"/>
        <w:autoSpaceDN w:val="0"/>
        <w:adjustRightInd w:val="0"/>
        <w:spacing w:line="240" w:lineRule="atLeast"/>
        <w:jc w:val="both"/>
        <w:rPr>
          <w:rFonts w:asciiTheme="minorHAnsi" w:hAnsiTheme="minorHAnsi" w:cstheme="minorHAnsi"/>
        </w:rPr>
      </w:pPr>
    </w:p>
    <w:p w14:paraId="3C3DD35E" w14:textId="08C4DBDE" w:rsidR="00EA5D9A" w:rsidRPr="00DE2A36" w:rsidRDefault="00BB23B4" w:rsidP="007E278E">
      <w:pPr>
        <w:pStyle w:val="ListParagraph"/>
        <w:numPr>
          <w:ilvl w:val="0"/>
          <w:numId w:val="1"/>
        </w:numPr>
        <w:autoSpaceDE w:val="0"/>
        <w:autoSpaceDN w:val="0"/>
        <w:adjustRightInd w:val="0"/>
        <w:spacing w:line="240" w:lineRule="atLeast"/>
        <w:jc w:val="both"/>
        <w:rPr>
          <w:rFonts w:asciiTheme="minorHAnsi" w:hAnsiTheme="minorHAnsi" w:cstheme="minorHAnsi"/>
        </w:rPr>
      </w:pPr>
      <w:r w:rsidRPr="00DE2A36">
        <w:rPr>
          <w:rFonts w:asciiTheme="minorHAnsi" w:hAnsiTheme="minorHAnsi" w:cstheme="minorHAnsi"/>
        </w:rPr>
        <w:t>Can we make changes in the fo</w:t>
      </w:r>
      <w:r w:rsidR="00E9455E" w:rsidRPr="00DE2A36">
        <w:rPr>
          <w:rFonts w:asciiTheme="minorHAnsi" w:hAnsiTheme="minorHAnsi" w:cstheme="minorHAnsi"/>
        </w:rPr>
        <w:t>rmat of the shareholding pattern?</w:t>
      </w:r>
    </w:p>
    <w:p w14:paraId="699D3643" w14:textId="300E77FF" w:rsidR="00E9455E" w:rsidRPr="00DE2A36" w:rsidRDefault="00C74DBE" w:rsidP="00E9455E">
      <w:pPr>
        <w:pStyle w:val="ListParagraph"/>
        <w:autoSpaceDE w:val="0"/>
        <w:autoSpaceDN w:val="0"/>
        <w:adjustRightInd w:val="0"/>
        <w:spacing w:line="240" w:lineRule="atLeast"/>
        <w:jc w:val="both"/>
        <w:rPr>
          <w:rFonts w:asciiTheme="minorHAnsi" w:hAnsiTheme="minorHAnsi" w:cstheme="minorHAnsi"/>
        </w:rPr>
      </w:pPr>
      <w:r w:rsidRPr="00C74DBE">
        <w:rPr>
          <w:rFonts w:asciiTheme="minorHAnsi" w:hAnsiTheme="minorHAnsi" w:cstheme="minorHAnsi"/>
          <w:b/>
          <w:bCs/>
        </w:rPr>
        <w:t>Answer:</w:t>
      </w:r>
      <w:r w:rsidR="00E9455E" w:rsidRPr="00DE2A36">
        <w:rPr>
          <w:rFonts w:asciiTheme="minorHAnsi" w:hAnsiTheme="minorHAnsi" w:cstheme="minorHAnsi"/>
        </w:rPr>
        <w:t xml:space="preserve"> No, format </w:t>
      </w:r>
      <w:r w:rsidR="00BC01D5" w:rsidRPr="00DE2A36">
        <w:rPr>
          <w:rFonts w:asciiTheme="minorHAnsi" w:hAnsiTheme="minorHAnsi" w:cstheme="minorHAnsi"/>
        </w:rPr>
        <w:t>shouldn’t be changed.</w:t>
      </w:r>
    </w:p>
    <w:p w14:paraId="46A90695" w14:textId="77777777" w:rsidR="00BC01D5" w:rsidRPr="00DE2A36" w:rsidRDefault="00BC01D5" w:rsidP="00E9455E">
      <w:pPr>
        <w:pStyle w:val="ListParagraph"/>
        <w:autoSpaceDE w:val="0"/>
        <w:autoSpaceDN w:val="0"/>
        <w:adjustRightInd w:val="0"/>
        <w:spacing w:line="240" w:lineRule="atLeast"/>
        <w:jc w:val="both"/>
        <w:rPr>
          <w:rFonts w:asciiTheme="minorHAnsi" w:hAnsiTheme="minorHAnsi" w:cstheme="minorHAnsi"/>
        </w:rPr>
      </w:pPr>
    </w:p>
    <w:p w14:paraId="6D1E9286" w14:textId="77777777" w:rsidR="00BC01D5" w:rsidRPr="00DE2A36" w:rsidRDefault="00BC01D5" w:rsidP="00E9455E">
      <w:pPr>
        <w:pStyle w:val="ListParagraph"/>
        <w:autoSpaceDE w:val="0"/>
        <w:autoSpaceDN w:val="0"/>
        <w:adjustRightInd w:val="0"/>
        <w:spacing w:line="240" w:lineRule="atLeast"/>
        <w:jc w:val="both"/>
        <w:rPr>
          <w:rFonts w:asciiTheme="minorHAnsi" w:hAnsiTheme="minorHAnsi" w:cstheme="minorHAnsi"/>
        </w:rPr>
      </w:pPr>
    </w:p>
    <w:p w14:paraId="185CDE6C" w14:textId="0E9AB975" w:rsidR="0004112F" w:rsidRPr="00DE2A36" w:rsidRDefault="00BC01D5" w:rsidP="00BC01D5">
      <w:pPr>
        <w:pStyle w:val="ListParagraph"/>
        <w:numPr>
          <w:ilvl w:val="0"/>
          <w:numId w:val="1"/>
        </w:numPr>
        <w:autoSpaceDE w:val="0"/>
        <w:autoSpaceDN w:val="0"/>
        <w:adjustRightInd w:val="0"/>
        <w:spacing w:line="240" w:lineRule="atLeast"/>
        <w:jc w:val="both"/>
        <w:rPr>
          <w:rFonts w:asciiTheme="minorHAnsi" w:hAnsiTheme="minorHAnsi" w:cstheme="minorHAnsi"/>
        </w:rPr>
      </w:pPr>
      <w:r w:rsidRPr="00DE2A36">
        <w:rPr>
          <w:rFonts w:asciiTheme="minorHAnsi" w:hAnsiTheme="minorHAnsi" w:cstheme="minorHAnsi"/>
        </w:rPr>
        <w:t>What to mention in column “Under what capacity”</w:t>
      </w:r>
      <w:r w:rsidR="00560262" w:rsidRPr="00DE2A36">
        <w:rPr>
          <w:rFonts w:asciiTheme="minorHAnsi" w:hAnsiTheme="minorHAnsi" w:cstheme="minorHAnsi"/>
        </w:rPr>
        <w:t xml:space="preserve"> of the Shareholding Pattern?</w:t>
      </w:r>
    </w:p>
    <w:p w14:paraId="29793072" w14:textId="410C1278" w:rsidR="00560262" w:rsidRPr="00DE2A36" w:rsidRDefault="00C74DBE" w:rsidP="00560262">
      <w:pPr>
        <w:pStyle w:val="ListParagraph"/>
        <w:autoSpaceDE w:val="0"/>
        <w:autoSpaceDN w:val="0"/>
        <w:adjustRightInd w:val="0"/>
        <w:spacing w:line="240" w:lineRule="atLeast"/>
        <w:jc w:val="both"/>
        <w:rPr>
          <w:rFonts w:asciiTheme="minorHAnsi" w:hAnsiTheme="minorHAnsi" w:cstheme="minorHAnsi"/>
        </w:rPr>
      </w:pPr>
      <w:r w:rsidRPr="00C74DBE">
        <w:rPr>
          <w:rFonts w:asciiTheme="minorHAnsi" w:hAnsiTheme="minorHAnsi" w:cstheme="minorHAnsi"/>
          <w:b/>
          <w:bCs/>
        </w:rPr>
        <w:t>Answer:</w:t>
      </w:r>
      <w:r w:rsidR="00560262" w:rsidRPr="00DE2A36">
        <w:rPr>
          <w:rFonts w:asciiTheme="minorHAnsi" w:hAnsiTheme="minorHAnsi" w:cstheme="minorHAnsi"/>
        </w:rPr>
        <w:t xml:space="preserve"> </w:t>
      </w:r>
      <w:r w:rsidR="0024450A" w:rsidRPr="00DE2A36">
        <w:rPr>
          <w:rFonts w:asciiTheme="minorHAnsi" w:hAnsiTheme="minorHAnsi" w:cstheme="minorHAnsi"/>
        </w:rPr>
        <w:t xml:space="preserve">mention </w:t>
      </w:r>
      <w:r w:rsidR="00560262" w:rsidRPr="00DE2A36">
        <w:rPr>
          <w:rFonts w:asciiTheme="minorHAnsi" w:hAnsiTheme="minorHAnsi" w:cstheme="minorHAnsi"/>
        </w:rPr>
        <w:t>Promoter/Promoter Group/Person Acting in Concert</w:t>
      </w:r>
      <w:r w:rsidR="0024450A" w:rsidRPr="00DE2A36">
        <w:rPr>
          <w:rFonts w:asciiTheme="minorHAnsi" w:hAnsiTheme="minorHAnsi" w:cstheme="minorHAnsi"/>
        </w:rPr>
        <w:t>, as applicable.</w:t>
      </w:r>
    </w:p>
    <w:sectPr w:rsidR="00560262" w:rsidRPr="00DE2A36" w:rsidSect="009D7008">
      <w:footerReference w:type="even" r:id="rId9"/>
      <w:footerReference w:type="default" r:id="rId10"/>
      <w:footerReference w:type="first" r:id="rId11"/>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1F05B" w14:textId="77777777" w:rsidR="007649F5" w:rsidRDefault="007649F5" w:rsidP="00835F61">
      <w:r>
        <w:separator/>
      </w:r>
    </w:p>
  </w:endnote>
  <w:endnote w:type="continuationSeparator" w:id="0">
    <w:p w14:paraId="03940992" w14:textId="77777777" w:rsidR="007649F5" w:rsidRDefault="007649F5" w:rsidP="0083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FCB57" w14:textId="2186A5A8" w:rsidR="00835F61" w:rsidRDefault="00835F61">
    <w:pPr>
      <w:pStyle w:val="Footer"/>
    </w:pPr>
    <w:r>
      <w:rPr>
        <w:noProof/>
      </w:rPr>
      <mc:AlternateContent>
        <mc:Choice Requires="wps">
          <w:drawing>
            <wp:anchor distT="0" distB="0" distL="0" distR="0" simplePos="0" relativeHeight="251659264" behindDoc="0" locked="0" layoutInCell="1" allowOverlap="1" wp14:anchorId="458DDF85" wp14:editId="7DFF7AAC">
              <wp:simplePos x="635" y="635"/>
              <wp:positionH relativeFrom="page">
                <wp:align>center</wp:align>
              </wp:positionH>
              <wp:positionV relativeFrom="page">
                <wp:align>bottom</wp:align>
              </wp:positionV>
              <wp:extent cx="443865" cy="443865"/>
              <wp:effectExtent l="0" t="0" r="16510" b="0"/>
              <wp:wrapNone/>
              <wp:docPr id="1977606762" name="Text Box 2"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84790F" w14:textId="7124F9D5" w:rsidR="00835F61" w:rsidRPr="00835F61" w:rsidRDefault="00835F61" w:rsidP="00835F61">
                          <w:pPr>
                            <w:rPr>
                              <w:rFonts w:ascii="Calibri" w:eastAsia="Calibri" w:hAnsi="Calibri" w:cs="Calibri"/>
                              <w:noProof/>
                              <w:color w:val="008000"/>
                              <w:sz w:val="20"/>
                              <w:szCs w:val="20"/>
                            </w:rPr>
                          </w:pPr>
                          <w:r w:rsidRPr="00835F61">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8DDF85" id="_x0000_t202" coordsize="21600,21600" o:spt="202" path="m,l,21600r21600,l21600,xe">
              <v:stroke joinstyle="miter"/>
              <v:path gradientshapeok="t" o:connecttype="rect"/>
            </v:shapetype>
            <v:shape id="Text Box 2" o:spid="_x0000_s1026" type="#_x0000_t202" alt="Non-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C84790F" w14:textId="7124F9D5" w:rsidR="00835F61" w:rsidRPr="00835F61" w:rsidRDefault="00835F61" w:rsidP="00835F61">
                    <w:pPr>
                      <w:rPr>
                        <w:rFonts w:ascii="Calibri" w:eastAsia="Calibri" w:hAnsi="Calibri" w:cs="Calibri"/>
                        <w:noProof/>
                        <w:color w:val="008000"/>
                        <w:sz w:val="20"/>
                        <w:szCs w:val="20"/>
                      </w:rPr>
                    </w:pPr>
                    <w:r w:rsidRPr="00835F61">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B2698" w14:textId="4824E24F" w:rsidR="00835F61" w:rsidRDefault="00835F61">
    <w:pPr>
      <w:pStyle w:val="Footer"/>
    </w:pPr>
    <w:r>
      <w:rPr>
        <w:noProof/>
      </w:rPr>
      <mc:AlternateContent>
        <mc:Choice Requires="wps">
          <w:drawing>
            <wp:anchor distT="0" distB="0" distL="0" distR="0" simplePos="0" relativeHeight="251660288" behindDoc="0" locked="0" layoutInCell="1" allowOverlap="1" wp14:anchorId="4A0ADDF2" wp14:editId="1B00EDD8">
              <wp:simplePos x="914400" y="10067925"/>
              <wp:positionH relativeFrom="page">
                <wp:align>center</wp:align>
              </wp:positionH>
              <wp:positionV relativeFrom="page">
                <wp:align>bottom</wp:align>
              </wp:positionV>
              <wp:extent cx="443865" cy="443865"/>
              <wp:effectExtent l="0" t="0" r="16510" b="0"/>
              <wp:wrapNone/>
              <wp:docPr id="636713728" name="Text Box 3"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224CF" w14:textId="259B13EF" w:rsidR="00835F61" w:rsidRPr="00835F61" w:rsidRDefault="00835F61" w:rsidP="00835F61">
                          <w:pPr>
                            <w:rPr>
                              <w:rFonts w:ascii="Calibri" w:eastAsia="Calibri" w:hAnsi="Calibri" w:cs="Calibri"/>
                              <w:noProof/>
                              <w:color w:val="008000"/>
                              <w:sz w:val="20"/>
                              <w:szCs w:val="20"/>
                            </w:rPr>
                          </w:pPr>
                          <w:r w:rsidRPr="00835F61">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0ADDF2" id="_x0000_t202" coordsize="21600,21600" o:spt="202" path="m,l,21600r21600,l21600,xe">
              <v:stroke joinstyle="miter"/>
              <v:path gradientshapeok="t" o:connecttype="rect"/>
            </v:shapetype>
            <v:shape id="Text Box 3" o:spid="_x0000_s1027" type="#_x0000_t202" alt="Non-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9224CF" w14:textId="259B13EF" w:rsidR="00835F61" w:rsidRPr="00835F61" w:rsidRDefault="00835F61" w:rsidP="00835F61">
                    <w:pPr>
                      <w:rPr>
                        <w:rFonts w:ascii="Calibri" w:eastAsia="Calibri" w:hAnsi="Calibri" w:cs="Calibri"/>
                        <w:noProof/>
                        <w:color w:val="008000"/>
                        <w:sz w:val="20"/>
                        <w:szCs w:val="20"/>
                      </w:rPr>
                    </w:pPr>
                    <w:r w:rsidRPr="00835F61">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A0E5" w14:textId="47F8D2E9" w:rsidR="00835F61" w:rsidRDefault="00835F61">
    <w:pPr>
      <w:pStyle w:val="Footer"/>
    </w:pPr>
    <w:r>
      <w:rPr>
        <w:noProof/>
      </w:rPr>
      <mc:AlternateContent>
        <mc:Choice Requires="wps">
          <w:drawing>
            <wp:anchor distT="0" distB="0" distL="0" distR="0" simplePos="0" relativeHeight="251658240" behindDoc="0" locked="0" layoutInCell="1" allowOverlap="1" wp14:anchorId="2FC0056B" wp14:editId="79E64425">
              <wp:simplePos x="635" y="635"/>
              <wp:positionH relativeFrom="page">
                <wp:align>center</wp:align>
              </wp:positionH>
              <wp:positionV relativeFrom="page">
                <wp:align>bottom</wp:align>
              </wp:positionV>
              <wp:extent cx="443865" cy="443865"/>
              <wp:effectExtent l="0" t="0" r="16510" b="0"/>
              <wp:wrapNone/>
              <wp:docPr id="1829266251" name="Text Box 1" descr="Non-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07B7E" w14:textId="6D6E3A48" w:rsidR="00835F61" w:rsidRPr="00835F61" w:rsidRDefault="00835F61" w:rsidP="00835F61">
                          <w:pPr>
                            <w:rPr>
                              <w:rFonts w:ascii="Calibri" w:eastAsia="Calibri" w:hAnsi="Calibri" w:cs="Calibri"/>
                              <w:noProof/>
                              <w:color w:val="008000"/>
                              <w:sz w:val="20"/>
                              <w:szCs w:val="20"/>
                            </w:rPr>
                          </w:pPr>
                          <w:r w:rsidRPr="00835F61">
                            <w:rPr>
                              <w:rFonts w:ascii="Calibri" w:eastAsia="Calibri" w:hAnsi="Calibri" w:cs="Calibri"/>
                              <w:noProof/>
                              <w:color w:val="008000"/>
                              <w:sz w:val="20"/>
                              <w:szCs w:val="20"/>
                            </w:rPr>
                            <w:t>Non-Confidential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C0056B" id="_x0000_t202" coordsize="21600,21600" o:spt="202" path="m,l,21600r21600,l21600,xe">
              <v:stroke joinstyle="miter"/>
              <v:path gradientshapeok="t" o:connecttype="rect"/>
            </v:shapetype>
            <v:shape id="Text Box 1" o:spid="_x0000_s1028" type="#_x0000_t202" alt="Non-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1607B7E" w14:textId="6D6E3A48" w:rsidR="00835F61" w:rsidRPr="00835F61" w:rsidRDefault="00835F61" w:rsidP="00835F61">
                    <w:pPr>
                      <w:rPr>
                        <w:rFonts w:ascii="Calibri" w:eastAsia="Calibri" w:hAnsi="Calibri" w:cs="Calibri"/>
                        <w:noProof/>
                        <w:color w:val="008000"/>
                        <w:sz w:val="20"/>
                        <w:szCs w:val="20"/>
                      </w:rPr>
                    </w:pPr>
                    <w:r w:rsidRPr="00835F61">
                      <w:rPr>
                        <w:rFonts w:ascii="Calibri" w:eastAsia="Calibri" w:hAnsi="Calibri" w:cs="Calibri"/>
                        <w:noProof/>
                        <w:color w:val="008000"/>
                        <w:sz w:val="20"/>
                        <w:szCs w:val="20"/>
                      </w:rPr>
                      <w:t>Non-Confidential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6D525" w14:textId="77777777" w:rsidR="007649F5" w:rsidRDefault="007649F5" w:rsidP="00835F61">
      <w:r>
        <w:separator/>
      </w:r>
    </w:p>
  </w:footnote>
  <w:footnote w:type="continuationSeparator" w:id="0">
    <w:p w14:paraId="5977C8F1" w14:textId="77777777" w:rsidR="007649F5" w:rsidRDefault="007649F5" w:rsidP="0083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403C9"/>
    <w:multiLevelType w:val="hybridMultilevel"/>
    <w:tmpl w:val="C71634F2"/>
    <w:lvl w:ilvl="0" w:tplc="4009001B">
      <w:start w:val="1"/>
      <w:numFmt w:val="lowerRoman"/>
      <w:lvlText w:val="%1."/>
      <w:lvlJc w:val="righ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15:restartNumberingAfterBreak="0">
    <w:nsid w:val="493E1EE1"/>
    <w:multiLevelType w:val="multilevel"/>
    <w:tmpl w:val="B342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882411"/>
    <w:multiLevelType w:val="hybridMultilevel"/>
    <w:tmpl w:val="DD8275D0"/>
    <w:lvl w:ilvl="0" w:tplc="39F02A9A">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4319393">
    <w:abstractNumId w:val="2"/>
  </w:num>
  <w:num w:numId="2" w16cid:durableId="722215257">
    <w:abstractNumId w:val="1"/>
  </w:num>
  <w:num w:numId="3" w16cid:durableId="97487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52"/>
    <w:rsid w:val="0004112F"/>
    <w:rsid w:val="000A0F2C"/>
    <w:rsid w:val="000A4671"/>
    <w:rsid w:val="000B50B7"/>
    <w:rsid w:val="00107038"/>
    <w:rsid w:val="001A3DFB"/>
    <w:rsid w:val="001E3D53"/>
    <w:rsid w:val="0022340D"/>
    <w:rsid w:val="0024450A"/>
    <w:rsid w:val="0025320B"/>
    <w:rsid w:val="00284804"/>
    <w:rsid w:val="002B0433"/>
    <w:rsid w:val="003019C8"/>
    <w:rsid w:val="003020AD"/>
    <w:rsid w:val="00380767"/>
    <w:rsid w:val="00391C80"/>
    <w:rsid w:val="003B5C1D"/>
    <w:rsid w:val="00400D01"/>
    <w:rsid w:val="00441F94"/>
    <w:rsid w:val="004A5315"/>
    <w:rsid w:val="004B2CD0"/>
    <w:rsid w:val="00541E01"/>
    <w:rsid w:val="00560262"/>
    <w:rsid w:val="005A3D18"/>
    <w:rsid w:val="005E6837"/>
    <w:rsid w:val="005F1E2D"/>
    <w:rsid w:val="006036FD"/>
    <w:rsid w:val="00603946"/>
    <w:rsid w:val="00642F0A"/>
    <w:rsid w:val="00683DC0"/>
    <w:rsid w:val="006B76B8"/>
    <w:rsid w:val="006E5987"/>
    <w:rsid w:val="0073315B"/>
    <w:rsid w:val="00752AAF"/>
    <w:rsid w:val="007649F5"/>
    <w:rsid w:val="007E278E"/>
    <w:rsid w:val="00835F61"/>
    <w:rsid w:val="008404BA"/>
    <w:rsid w:val="00852AAB"/>
    <w:rsid w:val="00874985"/>
    <w:rsid w:val="008910EF"/>
    <w:rsid w:val="008C357D"/>
    <w:rsid w:val="008F472A"/>
    <w:rsid w:val="008F4A8B"/>
    <w:rsid w:val="0092610C"/>
    <w:rsid w:val="00984CD1"/>
    <w:rsid w:val="009A2194"/>
    <w:rsid w:val="009D028D"/>
    <w:rsid w:val="009D7008"/>
    <w:rsid w:val="00AA1BD5"/>
    <w:rsid w:val="00AB751C"/>
    <w:rsid w:val="00B10404"/>
    <w:rsid w:val="00B8572B"/>
    <w:rsid w:val="00BA5AF8"/>
    <w:rsid w:val="00BB23B4"/>
    <w:rsid w:val="00BC01D5"/>
    <w:rsid w:val="00C73A52"/>
    <w:rsid w:val="00C74DBE"/>
    <w:rsid w:val="00C94A79"/>
    <w:rsid w:val="00C960C1"/>
    <w:rsid w:val="00CD1452"/>
    <w:rsid w:val="00CD1CCE"/>
    <w:rsid w:val="00D668C6"/>
    <w:rsid w:val="00DC16B2"/>
    <w:rsid w:val="00DE2A36"/>
    <w:rsid w:val="00E34042"/>
    <w:rsid w:val="00E4379E"/>
    <w:rsid w:val="00E8630A"/>
    <w:rsid w:val="00E9455E"/>
    <w:rsid w:val="00EA5D9A"/>
    <w:rsid w:val="00F05498"/>
    <w:rsid w:val="00F60E06"/>
    <w:rsid w:val="00F91862"/>
    <w:rsid w:val="00FC3A07"/>
    <w:rsid w:val="00FF4C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8163"/>
  <w15:chartTrackingRefBased/>
  <w15:docId w15:val="{A513C140-0A5E-4ABE-81CB-8C87AE19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C8"/>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5F61"/>
    <w:pPr>
      <w:tabs>
        <w:tab w:val="center" w:pos="4513"/>
        <w:tab w:val="right" w:pos="9026"/>
      </w:tabs>
    </w:pPr>
  </w:style>
  <w:style w:type="character" w:customStyle="1" w:styleId="FooterChar">
    <w:name w:val="Footer Char"/>
    <w:basedOn w:val="DefaultParagraphFont"/>
    <w:link w:val="Footer"/>
    <w:uiPriority w:val="99"/>
    <w:rsid w:val="00835F61"/>
  </w:style>
  <w:style w:type="paragraph" w:styleId="ListParagraph">
    <w:name w:val="List Paragraph"/>
    <w:basedOn w:val="Normal"/>
    <w:uiPriority w:val="34"/>
    <w:qFormat/>
    <w:rsid w:val="003019C8"/>
    <w:pPr>
      <w:ind w:left="720"/>
      <w:contextualSpacing/>
    </w:pPr>
  </w:style>
  <w:style w:type="paragraph" w:styleId="Revision">
    <w:name w:val="Revision"/>
    <w:hidden/>
    <w:uiPriority w:val="99"/>
    <w:semiHidden/>
    <w:rsid w:val="00F60E06"/>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F60E06"/>
    <w:rPr>
      <w:sz w:val="16"/>
      <w:szCs w:val="16"/>
    </w:rPr>
  </w:style>
  <w:style w:type="paragraph" w:styleId="CommentText">
    <w:name w:val="annotation text"/>
    <w:basedOn w:val="Normal"/>
    <w:link w:val="CommentTextChar"/>
    <w:uiPriority w:val="99"/>
    <w:unhideWhenUsed/>
    <w:rsid w:val="00F60E06"/>
    <w:rPr>
      <w:sz w:val="20"/>
      <w:szCs w:val="20"/>
    </w:rPr>
  </w:style>
  <w:style w:type="character" w:customStyle="1" w:styleId="CommentTextChar">
    <w:name w:val="Comment Text Char"/>
    <w:basedOn w:val="DefaultParagraphFont"/>
    <w:link w:val="CommentText"/>
    <w:uiPriority w:val="99"/>
    <w:rsid w:val="00F60E06"/>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60E06"/>
    <w:rPr>
      <w:b/>
      <w:bCs/>
    </w:rPr>
  </w:style>
  <w:style w:type="character" w:customStyle="1" w:styleId="CommentSubjectChar">
    <w:name w:val="Comment Subject Char"/>
    <w:basedOn w:val="CommentTextChar"/>
    <w:link w:val="CommentSubject"/>
    <w:uiPriority w:val="99"/>
    <w:semiHidden/>
    <w:rsid w:val="00F60E06"/>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23EBC81A3514892C40FDB6B126FA0" ma:contentTypeVersion="14" ma:contentTypeDescription="Create a new document." ma:contentTypeScope="" ma:versionID="e801c31a2c5b2713a85f4a9a3a4ab7a9">
  <xsd:schema xmlns:xsd="http://www.w3.org/2001/XMLSchema" xmlns:xs="http://www.w3.org/2001/XMLSchema" xmlns:p="http://schemas.microsoft.com/office/2006/metadata/properties" xmlns:ns2="d328aaf2-cffc-4a51-88b5-ce8da2770266" xmlns:ns3="7ae8e88c-8f30-46d1-93ae-bbe1165e24f8" targetNamespace="http://schemas.microsoft.com/office/2006/metadata/properties" ma:root="true" ma:fieldsID="1a195a1a301a8a522b22af403ca5f288" ns2:_="" ns3:_="">
    <xsd:import namespace="d328aaf2-cffc-4a51-88b5-ce8da2770266"/>
    <xsd:import namespace="7ae8e88c-8f30-46d1-93ae-bbe1165e24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8aaf2-cffc-4a51-88b5-ce8da2770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4ce622-4eca-4abd-b6ad-4ca1a7a80f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8e88c-8f30-46d1-93ae-bbe1165e24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03eabc6-ac16-41c7-9a0e-57db0d8b733c}" ma:internalName="TaxCatchAll" ma:showField="CatchAllData" ma:web="7ae8e88c-8f30-46d1-93ae-bbe1165e24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8404F-49E5-45B0-BFA3-7D1FAD3F0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8aaf2-cffc-4a51-88b5-ce8da2770266"/>
    <ds:schemaRef ds:uri="7ae8e88c-8f30-46d1-93ae-bbe1165e2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1B1FB-4BD3-4740-A3C7-C5C578E1F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Joshi (MEMCOMPOPS)</dc:creator>
  <cp:keywords/>
  <dc:description/>
  <cp:lastModifiedBy>Harsha Joshi (MEMCOMPOPS)</cp:lastModifiedBy>
  <cp:revision>5</cp:revision>
  <dcterms:created xsi:type="dcterms:W3CDTF">2024-08-25T13:05:00Z</dcterms:created>
  <dcterms:modified xsi:type="dcterms:W3CDTF">2024-08-27T06:16:00Z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6d08634b,75dfe26a,25f37b00</vt:lpwstr>
  </property>
  <property fmtid="{D5CDD505-2E9C-101B-9397-08002B2CF9AE}" pid="3" name="ClassificationContentMarkingFooterFontProps">
    <vt:lpwstr>#008000,10,Calibri</vt:lpwstr>
  </property>
  <property fmtid="{D5CDD505-2E9C-101B-9397-08002B2CF9AE}" pid="4" name="ClassificationContentMarkingFooterText">
    <vt:lpwstr>Non-Confidential</vt:lpwstr>
  </property>
  <property fmtid="{D5CDD505-2E9C-101B-9397-08002B2CF9AE}" pid="5" name="MSIP_Label_305f50f5-e953-4c63-867b-388561f41989_Enabled">
    <vt:lpwstr>true</vt:lpwstr>
  </property>
  <property fmtid="{D5CDD505-2E9C-101B-9397-08002B2CF9AE}" pid="6" name="MSIP_Label_305f50f5-e953-4c63-867b-388561f41989_SetDate">
    <vt:lpwstr>2023-12-22T09:12:16Z</vt:lpwstr>
  </property>
  <property fmtid="{D5CDD505-2E9C-101B-9397-08002B2CF9AE}" pid="7" name="MSIP_Label_305f50f5-e953-4c63-867b-388561f41989_Method">
    <vt:lpwstr>Privileged</vt:lpwstr>
  </property>
  <property fmtid="{D5CDD505-2E9C-101B-9397-08002B2CF9AE}" pid="8" name="MSIP_Label_305f50f5-e953-4c63-867b-388561f41989_Name">
    <vt:lpwstr>305f50f5-e953-4c63-867b-388561f41989</vt:lpwstr>
  </property>
  <property fmtid="{D5CDD505-2E9C-101B-9397-08002B2CF9AE}" pid="9" name="MSIP_Label_305f50f5-e953-4c63-867b-388561f41989_SiteId">
    <vt:lpwstr>fb8ed654-3195-4846-ac37-491dc8a2349e</vt:lpwstr>
  </property>
  <property fmtid="{D5CDD505-2E9C-101B-9397-08002B2CF9AE}" pid="10" name="MSIP_Label_305f50f5-e953-4c63-867b-388561f41989_ActionId">
    <vt:lpwstr>36dc3ed6-d523-4d8c-97e7-be8965949254</vt:lpwstr>
  </property>
  <property fmtid="{D5CDD505-2E9C-101B-9397-08002B2CF9AE}" pid="11" name="MSIP_Label_305f50f5-e953-4c63-867b-388561f41989_ContentBits">
    <vt:lpwstr>2</vt:lpwstr>
  </property>
</Properties>
</file>