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295EA" w14:textId="77777777" w:rsidR="0066643F" w:rsidRDefault="0066643F" w:rsidP="0066643F">
      <w:pPr>
        <w:spacing w:before="73"/>
        <w:ind w:left="120" w:right="117"/>
        <w:jc w:val="both"/>
        <w:rPr>
          <w:i/>
          <w:sz w:val="24"/>
        </w:rPr>
      </w:pPr>
      <w:r>
        <w:rPr>
          <w:i/>
          <w:sz w:val="24"/>
        </w:rPr>
        <w:t>Disclaimer: These guidelines are issued as guidance only. The directions/instructions issued in provision of Law, Regulation, SEBI and Exchange circular are referred to in these guidelines are final for decision making in the matter. These guidelines are not and should not be construed as substitution/clarification/explanation on any matter on which provision of Law, Regulation or SEBI/Exchange circular were</w:t>
      </w:r>
      <w:r>
        <w:rPr>
          <w:i/>
          <w:spacing w:val="-1"/>
          <w:sz w:val="24"/>
        </w:rPr>
        <w:t xml:space="preserve"> </w:t>
      </w:r>
      <w:r>
        <w:rPr>
          <w:i/>
          <w:sz w:val="24"/>
        </w:rPr>
        <w:t>issued.</w:t>
      </w:r>
    </w:p>
    <w:p w14:paraId="1E0AD487" w14:textId="77777777" w:rsidR="0066643F" w:rsidRDefault="0066643F" w:rsidP="00EC5C36">
      <w:pPr>
        <w:ind w:left="284" w:hanging="284"/>
        <w:jc w:val="center"/>
        <w:rPr>
          <w:rFonts w:ascii="Times New Roman" w:hAnsi="Times New Roman" w:cs="Times New Roman"/>
          <w:b/>
          <w:bCs/>
          <w:sz w:val="28"/>
          <w:szCs w:val="28"/>
          <w:u w:val="single"/>
          <w:lang w:val="en-US"/>
        </w:rPr>
      </w:pPr>
    </w:p>
    <w:p w14:paraId="3CD58232" w14:textId="45D42C52" w:rsidR="00082AD0" w:rsidRPr="00267E15" w:rsidRDefault="00082AD0" w:rsidP="00EC5C36">
      <w:pPr>
        <w:ind w:left="284" w:hanging="284"/>
        <w:jc w:val="center"/>
        <w:rPr>
          <w:rFonts w:ascii="Times New Roman" w:hAnsi="Times New Roman" w:cs="Times New Roman"/>
          <w:b/>
          <w:bCs/>
          <w:sz w:val="24"/>
          <w:szCs w:val="24"/>
          <w:u w:val="single"/>
          <w:lang w:val="en-US"/>
        </w:rPr>
      </w:pPr>
      <w:r w:rsidRPr="00267E15">
        <w:rPr>
          <w:rFonts w:ascii="Times New Roman" w:hAnsi="Times New Roman" w:cs="Times New Roman"/>
          <w:b/>
          <w:bCs/>
          <w:sz w:val="24"/>
          <w:szCs w:val="24"/>
          <w:u w:val="single"/>
          <w:lang w:val="en-US"/>
        </w:rPr>
        <w:t xml:space="preserve">Points to be </w:t>
      </w:r>
      <w:r w:rsidR="000E0C12" w:rsidRPr="00267E15">
        <w:rPr>
          <w:rFonts w:ascii="Times New Roman" w:hAnsi="Times New Roman" w:cs="Times New Roman"/>
          <w:b/>
          <w:bCs/>
          <w:sz w:val="24"/>
          <w:szCs w:val="24"/>
          <w:u w:val="single"/>
          <w:lang w:val="en-US"/>
        </w:rPr>
        <w:t>Remembered.</w:t>
      </w:r>
    </w:p>
    <w:p w14:paraId="4B5A9239" w14:textId="77777777" w:rsidR="00F61DD8" w:rsidRPr="00267E15" w:rsidRDefault="00F61DD8" w:rsidP="00EC5C36">
      <w:pPr>
        <w:ind w:left="284" w:hanging="284"/>
        <w:jc w:val="both"/>
        <w:rPr>
          <w:rFonts w:ascii="Times New Roman" w:hAnsi="Times New Roman" w:cs="Times New Roman"/>
          <w:b/>
          <w:bCs/>
          <w:sz w:val="24"/>
          <w:szCs w:val="24"/>
          <w:lang w:val="en-US"/>
        </w:rPr>
      </w:pPr>
    </w:p>
    <w:p w14:paraId="3CCF2E66" w14:textId="5F6EE8C6" w:rsidR="00F61DD8" w:rsidRPr="00267E15" w:rsidRDefault="00F61DD8" w:rsidP="00EC5C36">
      <w:pPr>
        <w:pStyle w:val="ListParagraph"/>
        <w:numPr>
          <w:ilvl w:val="0"/>
          <w:numId w:val="2"/>
        </w:numPr>
        <w:ind w:left="284" w:hanging="284"/>
        <w:jc w:val="both"/>
        <w:rPr>
          <w:rFonts w:ascii="Times New Roman" w:hAnsi="Times New Roman" w:cs="Times New Roman"/>
          <w:b/>
          <w:bCs/>
          <w:sz w:val="24"/>
          <w:szCs w:val="24"/>
          <w:u w:val="single"/>
          <w:lang w:val="en-US"/>
        </w:rPr>
      </w:pPr>
      <w:r w:rsidRPr="00267E15">
        <w:rPr>
          <w:rFonts w:ascii="Times New Roman" w:hAnsi="Times New Roman" w:cs="Times New Roman"/>
          <w:sz w:val="24"/>
          <w:szCs w:val="24"/>
        </w:rPr>
        <w:t xml:space="preserve">Allotment shall be completed within a period of 15 days from the date of passing of such resolution or date of receipt of </w:t>
      </w:r>
      <w:r w:rsidR="00EC5C36" w:rsidRPr="00267E15">
        <w:rPr>
          <w:rFonts w:ascii="Times New Roman" w:hAnsi="Times New Roman" w:cs="Times New Roman"/>
          <w:sz w:val="24"/>
          <w:szCs w:val="24"/>
        </w:rPr>
        <w:t>i</w:t>
      </w:r>
      <w:r w:rsidRPr="00267E15">
        <w:rPr>
          <w:rFonts w:ascii="Times New Roman" w:hAnsi="Times New Roman" w:cs="Times New Roman"/>
          <w:sz w:val="24"/>
          <w:szCs w:val="24"/>
        </w:rPr>
        <w:t xml:space="preserve">n- </w:t>
      </w:r>
      <w:r w:rsidR="00EC5C36" w:rsidRPr="00267E15">
        <w:rPr>
          <w:rFonts w:ascii="Times New Roman" w:hAnsi="Times New Roman" w:cs="Times New Roman"/>
          <w:sz w:val="24"/>
          <w:szCs w:val="24"/>
        </w:rPr>
        <w:t>p</w:t>
      </w:r>
      <w:r w:rsidRPr="00267E15">
        <w:rPr>
          <w:rFonts w:ascii="Times New Roman" w:hAnsi="Times New Roman" w:cs="Times New Roman"/>
          <w:sz w:val="24"/>
          <w:szCs w:val="24"/>
        </w:rPr>
        <w:t>rincip</w:t>
      </w:r>
      <w:r w:rsidR="00EC5C36" w:rsidRPr="00267E15">
        <w:rPr>
          <w:rFonts w:ascii="Times New Roman" w:hAnsi="Times New Roman" w:cs="Times New Roman"/>
          <w:sz w:val="24"/>
          <w:szCs w:val="24"/>
        </w:rPr>
        <w:t>le</w:t>
      </w:r>
      <w:r w:rsidRPr="00267E15">
        <w:rPr>
          <w:rFonts w:ascii="Times New Roman" w:hAnsi="Times New Roman" w:cs="Times New Roman"/>
          <w:sz w:val="24"/>
          <w:szCs w:val="24"/>
        </w:rPr>
        <w:t xml:space="preserve"> </w:t>
      </w:r>
      <w:r w:rsidR="00EC5C36" w:rsidRPr="00267E15">
        <w:rPr>
          <w:rFonts w:ascii="Times New Roman" w:hAnsi="Times New Roman" w:cs="Times New Roman"/>
          <w:sz w:val="24"/>
          <w:szCs w:val="24"/>
        </w:rPr>
        <w:t>a</w:t>
      </w:r>
      <w:r w:rsidRPr="00267E15">
        <w:rPr>
          <w:rFonts w:ascii="Times New Roman" w:hAnsi="Times New Roman" w:cs="Times New Roman"/>
          <w:sz w:val="24"/>
          <w:szCs w:val="24"/>
        </w:rPr>
        <w:t xml:space="preserve">pproval from </w:t>
      </w:r>
      <w:r w:rsidR="00EC5C36" w:rsidRPr="00267E15">
        <w:rPr>
          <w:rFonts w:ascii="Times New Roman" w:hAnsi="Times New Roman" w:cs="Times New Roman"/>
          <w:sz w:val="24"/>
          <w:szCs w:val="24"/>
        </w:rPr>
        <w:t>s</w:t>
      </w:r>
      <w:r w:rsidRPr="00267E15">
        <w:rPr>
          <w:rFonts w:ascii="Times New Roman" w:hAnsi="Times New Roman" w:cs="Times New Roman"/>
          <w:sz w:val="24"/>
          <w:szCs w:val="24"/>
        </w:rPr>
        <w:t>tock exchange</w:t>
      </w:r>
      <w:r w:rsidR="00EC5C36" w:rsidRPr="00267E15">
        <w:rPr>
          <w:rFonts w:ascii="Times New Roman" w:hAnsi="Times New Roman" w:cs="Times New Roman"/>
          <w:sz w:val="24"/>
          <w:szCs w:val="24"/>
        </w:rPr>
        <w:t>(</w:t>
      </w:r>
      <w:r w:rsidRPr="00267E15">
        <w:rPr>
          <w:rFonts w:ascii="Times New Roman" w:hAnsi="Times New Roman" w:cs="Times New Roman"/>
          <w:sz w:val="24"/>
          <w:szCs w:val="24"/>
        </w:rPr>
        <w:t>s</w:t>
      </w:r>
      <w:r w:rsidR="00EC5C36" w:rsidRPr="00267E15">
        <w:rPr>
          <w:rFonts w:ascii="Times New Roman" w:hAnsi="Times New Roman" w:cs="Times New Roman"/>
          <w:sz w:val="24"/>
          <w:szCs w:val="24"/>
        </w:rPr>
        <w:t>)</w:t>
      </w:r>
      <w:r w:rsidRPr="00267E15">
        <w:rPr>
          <w:rFonts w:ascii="Times New Roman" w:hAnsi="Times New Roman" w:cs="Times New Roman"/>
          <w:sz w:val="24"/>
          <w:szCs w:val="24"/>
        </w:rPr>
        <w:t>, whichever is later</w:t>
      </w:r>
      <w:r w:rsidR="00EC5C36" w:rsidRPr="00267E15">
        <w:rPr>
          <w:rFonts w:ascii="Times New Roman" w:hAnsi="Times New Roman" w:cs="Times New Roman"/>
          <w:sz w:val="24"/>
          <w:szCs w:val="24"/>
        </w:rPr>
        <w:t>.</w:t>
      </w:r>
    </w:p>
    <w:p w14:paraId="0320B76B" w14:textId="77777777" w:rsidR="00F61DD8" w:rsidRPr="00267E15" w:rsidRDefault="00F61DD8" w:rsidP="00EC5C36">
      <w:pPr>
        <w:pStyle w:val="ListParagraph"/>
        <w:ind w:left="284" w:hanging="284"/>
        <w:jc w:val="both"/>
        <w:rPr>
          <w:rFonts w:ascii="Times New Roman" w:hAnsi="Times New Roman" w:cs="Times New Roman"/>
          <w:b/>
          <w:bCs/>
          <w:sz w:val="24"/>
          <w:szCs w:val="24"/>
          <w:u w:val="single"/>
          <w:lang w:val="en-US"/>
        </w:rPr>
      </w:pPr>
    </w:p>
    <w:p w14:paraId="7112A4F7" w14:textId="6850956E" w:rsidR="00297392" w:rsidRPr="00267E15" w:rsidRDefault="00E538D0" w:rsidP="00297392">
      <w:pPr>
        <w:pStyle w:val="ListParagraph"/>
        <w:numPr>
          <w:ilvl w:val="0"/>
          <w:numId w:val="2"/>
        </w:numPr>
        <w:ind w:left="284" w:hanging="284"/>
        <w:jc w:val="both"/>
        <w:rPr>
          <w:rFonts w:ascii="Times New Roman" w:hAnsi="Times New Roman" w:cs="Times New Roman"/>
          <w:sz w:val="24"/>
          <w:szCs w:val="24"/>
        </w:rPr>
      </w:pPr>
      <w:r w:rsidRPr="00267E15">
        <w:rPr>
          <w:rFonts w:ascii="Times New Roman" w:hAnsi="Times New Roman" w:cs="Times New Roman"/>
          <w:sz w:val="24"/>
          <w:szCs w:val="24"/>
        </w:rPr>
        <w:t xml:space="preserve">Application </w:t>
      </w:r>
      <w:r w:rsidR="00A20688" w:rsidRPr="00267E15">
        <w:rPr>
          <w:rFonts w:ascii="Times New Roman" w:hAnsi="Times New Roman" w:cs="Times New Roman"/>
          <w:sz w:val="24"/>
          <w:szCs w:val="24"/>
        </w:rPr>
        <w:t>to seek</w:t>
      </w:r>
      <w:r w:rsidRPr="00267E15">
        <w:rPr>
          <w:rFonts w:ascii="Times New Roman" w:hAnsi="Times New Roman" w:cs="Times New Roman"/>
          <w:sz w:val="24"/>
          <w:szCs w:val="24"/>
        </w:rPr>
        <w:t xml:space="preserve"> in-principle listing approval p</w:t>
      </w:r>
      <w:r w:rsidR="00F61DD8" w:rsidRPr="00267E15">
        <w:rPr>
          <w:rFonts w:ascii="Times New Roman" w:hAnsi="Times New Roman" w:cs="Times New Roman"/>
          <w:sz w:val="24"/>
          <w:szCs w:val="24"/>
        </w:rPr>
        <w:t xml:space="preserve">ost </w:t>
      </w:r>
      <w:r w:rsidRPr="00267E15">
        <w:rPr>
          <w:rFonts w:ascii="Times New Roman" w:hAnsi="Times New Roman" w:cs="Times New Roman"/>
          <w:sz w:val="24"/>
          <w:szCs w:val="24"/>
        </w:rPr>
        <w:t>a</w:t>
      </w:r>
      <w:r w:rsidR="00F61DD8" w:rsidRPr="00267E15">
        <w:rPr>
          <w:rFonts w:ascii="Times New Roman" w:hAnsi="Times New Roman" w:cs="Times New Roman"/>
          <w:sz w:val="24"/>
          <w:szCs w:val="24"/>
        </w:rPr>
        <w:t xml:space="preserve">llotment </w:t>
      </w:r>
      <w:r w:rsidR="00164352" w:rsidRPr="00267E15">
        <w:rPr>
          <w:rFonts w:ascii="Times New Roman" w:hAnsi="Times New Roman" w:cs="Times New Roman"/>
          <w:sz w:val="24"/>
          <w:szCs w:val="24"/>
        </w:rPr>
        <w:t xml:space="preserve">shall be submitted </w:t>
      </w:r>
      <w:r w:rsidR="00F61DD8" w:rsidRPr="00267E15">
        <w:rPr>
          <w:rFonts w:ascii="Times New Roman" w:hAnsi="Times New Roman" w:cs="Times New Roman"/>
          <w:sz w:val="24"/>
          <w:szCs w:val="24"/>
        </w:rPr>
        <w:t>to stock exchange within 20 days from date of allotment of equity shares</w:t>
      </w:r>
      <w:r w:rsidR="00A20688" w:rsidRPr="00267E15">
        <w:rPr>
          <w:rFonts w:ascii="Times New Roman" w:hAnsi="Times New Roman" w:cs="Times New Roman"/>
          <w:sz w:val="24"/>
          <w:szCs w:val="24"/>
        </w:rPr>
        <w:t>/specified securities seeking listing</w:t>
      </w:r>
      <w:r w:rsidR="00F61DD8" w:rsidRPr="00267E15">
        <w:rPr>
          <w:rFonts w:ascii="Times New Roman" w:hAnsi="Times New Roman" w:cs="Times New Roman"/>
          <w:sz w:val="24"/>
          <w:szCs w:val="24"/>
        </w:rPr>
        <w:t xml:space="preserve">. </w:t>
      </w:r>
    </w:p>
    <w:p w14:paraId="734F8499" w14:textId="77777777" w:rsidR="00297392" w:rsidRPr="00267E15" w:rsidRDefault="00297392" w:rsidP="00297392">
      <w:pPr>
        <w:pStyle w:val="ListParagraph"/>
        <w:rPr>
          <w:rFonts w:ascii="Times New Roman" w:hAnsi="Times New Roman" w:cs="Times New Roman"/>
          <w:sz w:val="24"/>
          <w:szCs w:val="24"/>
        </w:rPr>
      </w:pPr>
    </w:p>
    <w:p w14:paraId="126EBBD7" w14:textId="7454B78D" w:rsidR="00F61DD8" w:rsidRPr="00267E15" w:rsidRDefault="005B1C45" w:rsidP="00297392">
      <w:pPr>
        <w:pStyle w:val="ListParagraph"/>
        <w:numPr>
          <w:ilvl w:val="0"/>
          <w:numId w:val="2"/>
        </w:numPr>
        <w:ind w:left="284" w:hanging="284"/>
        <w:jc w:val="both"/>
        <w:rPr>
          <w:rFonts w:ascii="Times New Roman" w:hAnsi="Times New Roman" w:cs="Times New Roman"/>
          <w:sz w:val="24"/>
          <w:szCs w:val="24"/>
        </w:rPr>
      </w:pPr>
      <w:r w:rsidRPr="00267E15">
        <w:rPr>
          <w:rFonts w:ascii="Times New Roman" w:hAnsi="Times New Roman" w:cs="Times New Roman"/>
          <w:sz w:val="24"/>
          <w:szCs w:val="24"/>
        </w:rPr>
        <w:t xml:space="preserve">Securities being allotted shall be subject to lock-in as stated in regulation </w:t>
      </w:r>
      <w:r w:rsidR="00676379" w:rsidRPr="00267E15">
        <w:rPr>
          <w:rFonts w:ascii="Times New Roman" w:hAnsi="Times New Roman" w:cs="Times New Roman"/>
          <w:sz w:val="24"/>
          <w:szCs w:val="24"/>
        </w:rPr>
        <w:t>167 of SEBI (ICDR) Regulations, 2018.</w:t>
      </w:r>
    </w:p>
    <w:p w14:paraId="47F5854E" w14:textId="77777777" w:rsidR="00952F53" w:rsidRPr="00267E15" w:rsidRDefault="00952F53" w:rsidP="00952F53">
      <w:pPr>
        <w:pStyle w:val="ListParagraph"/>
        <w:rPr>
          <w:rFonts w:ascii="Times New Roman" w:hAnsi="Times New Roman" w:cs="Times New Roman"/>
          <w:sz w:val="24"/>
          <w:szCs w:val="24"/>
        </w:rPr>
      </w:pPr>
    </w:p>
    <w:p w14:paraId="420409AF" w14:textId="73661432" w:rsidR="006C582C" w:rsidRPr="00267E15" w:rsidRDefault="00952F53" w:rsidP="006C582C">
      <w:pPr>
        <w:pStyle w:val="ListParagraph"/>
        <w:numPr>
          <w:ilvl w:val="0"/>
          <w:numId w:val="2"/>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 xml:space="preserve">If any equity shares </w:t>
      </w:r>
      <w:r w:rsidR="00A20688" w:rsidRPr="00267E15">
        <w:rPr>
          <w:rFonts w:ascii="Times New Roman" w:hAnsi="Times New Roman" w:cs="Times New Roman"/>
          <w:sz w:val="24"/>
          <w:szCs w:val="24"/>
          <w:lang w:val="en-US"/>
        </w:rPr>
        <w:t>have</w:t>
      </w:r>
      <w:r w:rsidRPr="00267E15">
        <w:rPr>
          <w:rFonts w:ascii="Times New Roman" w:hAnsi="Times New Roman" w:cs="Times New Roman"/>
          <w:sz w:val="24"/>
          <w:szCs w:val="24"/>
          <w:lang w:val="en-US"/>
        </w:rPr>
        <w:t xml:space="preserve"> been purchased by allottees </w:t>
      </w:r>
      <w:r w:rsidR="00A20688" w:rsidRPr="00267E15">
        <w:rPr>
          <w:rFonts w:ascii="Times New Roman" w:hAnsi="Times New Roman" w:cs="Times New Roman"/>
          <w:sz w:val="24"/>
          <w:szCs w:val="24"/>
          <w:lang w:val="en-US"/>
        </w:rPr>
        <w:t>between the relevant date and</w:t>
      </w:r>
      <w:r w:rsidRPr="00267E15">
        <w:rPr>
          <w:rFonts w:ascii="Times New Roman" w:hAnsi="Times New Roman" w:cs="Times New Roman"/>
          <w:sz w:val="24"/>
          <w:szCs w:val="24"/>
          <w:lang w:val="en-US"/>
        </w:rPr>
        <w:t xml:space="preserve"> allotment of </w:t>
      </w:r>
      <w:r w:rsidR="00240DFB" w:rsidRPr="00267E15">
        <w:rPr>
          <w:rFonts w:ascii="Times New Roman" w:hAnsi="Times New Roman" w:cs="Times New Roman"/>
          <w:sz w:val="24"/>
          <w:szCs w:val="24"/>
          <w:lang w:val="en-US"/>
        </w:rPr>
        <w:t xml:space="preserve">specified </w:t>
      </w:r>
      <w:r w:rsidRPr="00267E15">
        <w:rPr>
          <w:rFonts w:ascii="Times New Roman" w:hAnsi="Times New Roman" w:cs="Times New Roman"/>
          <w:sz w:val="24"/>
          <w:szCs w:val="24"/>
          <w:lang w:val="en-US"/>
        </w:rPr>
        <w:t>securities</w:t>
      </w:r>
      <w:r w:rsidR="00A20688" w:rsidRPr="00267E15">
        <w:rPr>
          <w:rFonts w:ascii="Times New Roman" w:hAnsi="Times New Roman" w:cs="Times New Roman"/>
          <w:sz w:val="24"/>
          <w:szCs w:val="24"/>
          <w:lang w:val="en-US"/>
        </w:rPr>
        <w:t xml:space="preserve"> (Convertible security or Equity Shares in case direct equity allotment)</w:t>
      </w:r>
      <w:r w:rsidRPr="00267E15">
        <w:rPr>
          <w:rFonts w:ascii="Times New Roman" w:hAnsi="Times New Roman" w:cs="Times New Roman"/>
          <w:sz w:val="24"/>
          <w:szCs w:val="24"/>
          <w:lang w:val="en-US"/>
        </w:rPr>
        <w:t xml:space="preserve">, same shall be treated as pre-preferential allotment </w:t>
      </w:r>
      <w:r w:rsidR="00A20688" w:rsidRPr="00267E15">
        <w:rPr>
          <w:rFonts w:ascii="Times New Roman" w:hAnsi="Times New Roman" w:cs="Times New Roman"/>
          <w:sz w:val="24"/>
          <w:szCs w:val="24"/>
          <w:lang w:val="en-US"/>
        </w:rPr>
        <w:t>share</w:t>
      </w:r>
      <w:r w:rsidRPr="00267E15">
        <w:rPr>
          <w:rFonts w:ascii="Times New Roman" w:hAnsi="Times New Roman" w:cs="Times New Roman"/>
          <w:sz w:val="24"/>
          <w:szCs w:val="24"/>
          <w:lang w:val="en-US"/>
        </w:rPr>
        <w:t>holdings &amp; shall be subject to lock-in as per provisions of Regulation 167(6) of SEBI (ICDR) Regulations,2018.</w:t>
      </w:r>
    </w:p>
    <w:p w14:paraId="56E67773" w14:textId="77777777" w:rsidR="006C582C" w:rsidRPr="00267E15" w:rsidRDefault="006C582C" w:rsidP="00476BD3">
      <w:pPr>
        <w:pStyle w:val="ListParagraph"/>
        <w:ind w:left="284"/>
        <w:jc w:val="both"/>
        <w:rPr>
          <w:rFonts w:ascii="Times New Roman" w:hAnsi="Times New Roman" w:cs="Times New Roman"/>
          <w:sz w:val="24"/>
          <w:szCs w:val="24"/>
          <w:lang w:val="en-US"/>
        </w:rPr>
      </w:pPr>
    </w:p>
    <w:p w14:paraId="1DD6A302" w14:textId="21E548FA" w:rsidR="00412D3A" w:rsidRPr="00267E15" w:rsidRDefault="00412D3A" w:rsidP="00476BD3">
      <w:pPr>
        <w:pStyle w:val="ListParagraph"/>
        <w:ind w:left="1080"/>
        <w:jc w:val="both"/>
        <w:rPr>
          <w:rFonts w:ascii="Times New Roman" w:hAnsi="Times New Roman" w:cs="Times New Roman"/>
          <w:sz w:val="24"/>
          <w:szCs w:val="24"/>
          <w:lang w:val="en-US"/>
        </w:rPr>
      </w:pPr>
      <w:proofErr w:type="spellStart"/>
      <w:r w:rsidRPr="00267E15">
        <w:rPr>
          <w:rFonts w:ascii="Times New Roman" w:hAnsi="Times New Roman" w:cs="Times New Roman"/>
          <w:sz w:val="24"/>
          <w:szCs w:val="24"/>
          <w:lang w:val="en-US"/>
        </w:rPr>
        <w:t>Eg</w:t>
      </w:r>
      <w:proofErr w:type="spellEnd"/>
      <w:r w:rsidRPr="00267E15">
        <w:rPr>
          <w:rFonts w:ascii="Times New Roman" w:hAnsi="Times New Roman" w:cs="Times New Roman"/>
          <w:sz w:val="24"/>
          <w:szCs w:val="24"/>
          <w:lang w:val="en-US"/>
        </w:rPr>
        <w:t xml:space="preserve">: ABC Ltd. is raising funds on preferential basis and following are the details in relation to the same:  </w:t>
      </w:r>
    </w:p>
    <w:p w14:paraId="4E3852B3" w14:textId="77777777" w:rsidR="00412D3A" w:rsidRPr="00267E15" w:rsidRDefault="00412D3A" w:rsidP="00476BD3">
      <w:pPr>
        <w:pStyle w:val="ListParagraph"/>
        <w:ind w:left="1080"/>
        <w:rPr>
          <w:rFonts w:ascii="Times New Roman" w:hAnsi="Times New Roman" w:cs="Times New Roman"/>
          <w:sz w:val="24"/>
          <w:szCs w:val="24"/>
          <w:lang w:val="en-US"/>
        </w:rPr>
      </w:pPr>
      <w:r w:rsidRPr="00267E15">
        <w:rPr>
          <w:rFonts w:ascii="Times New Roman" w:hAnsi="Times New Roman" w:cs="Times New Roman"/>
          <w:sz w:val="24"/>
          <w:szCs w:val="24"/>
          <w:lang w:val="en-US"/>
        </w:rPr>
        <w:t>1. Shareholders meeting date: 02-Jul-2023</w:t>
      </w:r>
    </w:p>
    <w:p w14:paraId="61C98819" w14:textId="77777777" w:rsidR="00412D3A" w:rsidRPr="00267E15" w:rsidRDefault="00412D3A" w:rsidP="00476BD3">
      <w:pPr>
        <w:pStyle w:val="ListParagraph"/>
        <w:ind w:left="1080"/>
        <w:rPr>
          <w:rFonts w:ascii="Times New Roman" w:hAnsi="Times New Roman" w:cs="Times New Roman"/>
          <w:sz w:val="24"/>
          <w:szCs w:val="24"/>
          <w:lang w:val="en-US"/>
        </w:rPr>
      </w:pPr>
      <w:r w:rsidRPr="00267E15">
        <w:rPr>
          <w:rFonts w:ascii="Times New Roman" w:hAnsi="Times New Roman" w:cs="Times New Roman"/>
          <w:sz w:val="24"/>
          <w:szCs w:val="24"/>
          <w:lang w:val="en-US"/>
        </w:rPr>
        <w:t>2. Relevant date: 02-Jun-2023</w:t>
      </w:r>
    </w:p>
    <w:p w14:paraId="0B771694" w14:textId="77777777" w:rsidR="00412D3A" w:rsidRPr="00267E15" w:rsidRDefault="00412D3A" w:rsidP="00476BD3">
      <w:pPr>
        <w:pStyle w:val="ListParagraph"/>
        <w:ind w:left="1080"/>
        <w:rPr>
          <w:rFonts w:ascii="Times New Roman" w:hAnsi="Times New Roman" w:cs="Times New Roman"/>
          <w:sz w:val="24"/>
          <w:szCs w:val="24"/>
          <w:lang w:val="en-US"/>
        </w:rPr>
      </w:pPr>
      <w:r w:rsidRPr="00267E15">
        <w:rPr>
          <w:rFonts w:ascii="Times New Roman" w:hAnsi="Times New Roman" w:cs="Times New Roman"/>
          <w:sz w:val="24"/>
          <w:szCs w:val="24"/>
          <w:lang w:val="en-US"/>
        </w:rPr>
        <w:t>3. Allotment date of convertible securities: 17-Jul-2023</w:t>
      </w:r>
    </w:p>
    <w:p w14:paraId="72A9EA07" w14:textId="77777777" w:rsidR="00412D3A" w:rsidRPr="00267E15" w:rsidRDefault="00412D3A" w:rsidP="00476BD3">
      <w:pPr>
        <w:pStyle w:val="ListParagraph"/>
        <w:ind w:left="1080"/>
        <w:rPr>
          <w:rFonts w:ascii="Times New Roman" w:hAnsi="Times New Roman" w:cs="Times New Roman"/>
          <w:sz w:val="24"/>
          <w:szCs w:val="24"/>
          <w:lang w:val="en-US"/>
        </w:rPr>
      </w:pPr>
      <w:r w:rsidRPr="00267E15">
        <w:rPr>
          <w:rFonts w:ascii="Times New Roman" w:hAnsi="Times New Roman" w:cs="Times New Roman"/>
          <w:sz w:val="24"/>
          <w:szCs w:val="24"/>
          <w:lang w:val="en-US"/>
        </w:rPr>
        <w:t>4. Allotment date of equity shares: 29-Aug-2023</w:t>
      </w:r>
    </w:p>
    <w:p w14:paraId="36AAC87A" w14:textId="77777777" w:rsidR="001569C0" w:rsidRPr="00267E15" w:rsidRDefault="001569C0" w:rsidP="001569C0">
      <w:pPr>
        <w:pStyle w:val="ListParagraph"/>
        <w:ind w:left="1080"/>
        <w:jc w:val="both"/>
        <w:rPr>
          <w:rFonts w:ascii="Times New Roman" w:hAnsi="Times New Roman" w:cs="Times New Roman"/>
          <w:sz w:val="24"/>
          <w:szCs w:val="24"/>
          <w:lang w:val="en-US"/>
        </w:rPr>
      </w:pPr>
    </w:p>
    <w:p w14:paraId="7B840C92" w14:textId="1985A229" w:rsidR="00412D3A" w:rsidRPr="00267E15" w:rsidRDefault="00412D3A" w:rsidP="00476BD3">
      <w:pPr>
        <w:pStyle w:val="ListParagraph"/>
        <w:ind w:left="1080"/>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Mr. X is one of the allottee in the said preferential issue and following trading activity has been undergone by him:</w:t>
      </w:r>
    </w:p>
    <w:tbl>
      <w:tblPr>
        <w:tblStyle w:val="TableGrid"/>
        <w:tblW w:w="5000" w:type="pct"/>
        <w:tblLook w:val="04A0" w:firstRow="1" w:lastRow="0" w:firstColumn="1" w:lastColumn="0" w:noHBand="0" w:noVBand="1"/>
      </w:tblPr>
      <w:tblGrid>
        <w:gridCol w:w="3005"/>
        <w:gridCol w:w="3005"/>
        <w:gridCol w:w="3006"/>
      </w:tblGrid>
      <w:tr w:rsidR="00412D3A" w:rsidRPr="00267E15" w14:paraId="6D19D639" w14:textId="77777777" w:rsidTr="00476BD3">
        <w:tc>
          <w:tcPr>
            <w:tcW w:w="1666" w:type="pct"/>
          </w:tcPr>
          <w:p w14:paraId="13E32AF6" w14:textId="77777777" w:rsidR="00412D3A" w:rsidRPr="00267E15" w:rsidRDefault="00412D3A" w:rsidP="00C73466">
            <w:pPr>
              <w:rPr>
                <w:rFonts w:ascii="Times New Roman" w:hAnsi="Times New Roman" w:cs="Times New Roman"/>
                <w:b/>
                <w:bCs/>
                <w:sz w:val="24"/>
                <w:szCs w:val="24"/>
                <w:lang w:val="en-US"/>
              </w:rPr>
            </w:pPr>
            <w:r w:rsidRPr="00267E15">
              <w:rPr>
                <w:rFonts w:ascii="Times New Roman" w:hAnsi="Times New Roman" w:cs="Times New Roman"/>
                <w:b/>
                <w:bCs/>
                <w:sz w:val="24"/>
                <w:szCs w:val="24"/>
                <w:lang w:val="en-US"/>
              </w:rPr>
              <w:t>Date</w:t>
            </w:r>
          </w:p>
        </w:tc>
        <w:tc>
          <w:tcPr>
            <w:tcW w:w="1666" w:type="pct"/>
          </w:tcPr>
          <w:p w14:paraId="0CF3E4D4" w14:textId="77777777" w:rsidR="00412D3A" w:rsidRPr="00267E15" w:rsidRDefault="00412D3A" w:rsidP="00C73466">
            <w:pPr>
              <w:rPr>
                <w:rFonts w:ascii="Times New Roman" w:hAnsi="Times New Roman" w:cs="Times New Roman"/>
                <w:b/>
                <w:bCs/>
                <w:sz w:val="24"/>
                <w:szCs w:val="24"/>
                <w:lang w:val="en-US"/>
              </w:rPr>
            </w:pPr>
            <w:r w:rsidRPr="00267E15">
              <w:rPr>
                <w:rFonts w:ascii="Times New Roman" w:hAnsi="Times New Roman" w:cs="Times New Roman"/>
                <w:b/>
                <w:bCs/>
                <w:sz w:val="24"/>
                <w:szCs w:val="24"/>
                <w:lang w:val="en-US"/>
              </w:rPr>
              <w:t>Buy qty</w:t>
            </w:r>
          </w:p>
        </w:tc>
        <w:tc>
          <w:tcPr>
            <w:tcW w:w="1667" w:type="pct"/>
          </w:tcPr>
          <w:p w14:paraId="039E5B1B" w14:textId="77777777" w:rsidR="00412D3A" w:rsidRPr="00267E15" w:rsidRDefault="00412D3A" w:rsidP="00C73466">
            <w:pPr>
              <w:rPr>
                <w:rFonts w:ascii="Times New Roman" w:hAnsi="Times New Roman" w:cs="Times New Roman"/>
                <w:b/>
                <w:bCs/>
                <w:sz w:val="24"/>
                <w:szCs w:val="24"/>
                <w:lang w:val="en-US"/>
              </w:rPr>
            </w:pPr>
            <w:r w:rsidRPr="00267E15">
              <w:rPr>
                <w:rFonts w:ascii="Times New Roman" w:hAnsi="Times New Roman" w:cs="Times New Roman"/>
                <w:b/>
                <w:bCs/>
                <w:sz w:val="24"/>
                <w:szCs w:val="24"/>
                <w:lang w:val="en-US"/>
              </w:rPr>
              <w:t>Sell Qty</w:t>
            </w:r>
          </w:p>
        </w:tc>
      </w:tr>
      <w:tr w:rsidR="00412D3A" w:rsidRPr="00267E15" w14:paraId="189E4469" w14:textId="77777777" w:rsidTr="00476BD3">
        <w:tc>
          <w:tcPr>
            <w:tcW w:w="1666" w:type="pct"/>
          </w:tcPr>
          <w:p w14:paraId="133C4A7C" w14:textId="77777777" w:rsidR="00412D3A" w:rsidRPr="00267E15" w:rsidRDefault="00412D3A" w:rsidP="00C73466">
            <w:pPr>
              <w:rPr>
                <w:rFonts w:ascii="Times New Roman" w:hAnsi="Times New Roman" w:cs="Times New Roman"/>
                <w:sz w:val="24"/>
                <w:szCs w:val="24"/>
                <w:lang w:val="en-US"/>
              </w:rPr>
            </w:pPr>
            <w:r w:rsidRPr="00267E15">
              <w:rPr>
                <w:rFonts w:ascii="Times New Roman" w:hAnsi="Times New Roman" w:cs="Times New Roman"/>
                <w:sz w:val="24"/>
                <w:szCs w:val="24"/>
                <w:lang w:val="en-US"/>
              </w:rPr>
              <w:t>04/07/2023</w:t>
            </w:r>
          </w:p>
        </w:tc>
        <w:tc>
          <w:tcPr>
            <w:tcW w:w="1666" w:type="pct"/>
          </w:tcPr>
          <w:p w14:paraId="0B02419B" w14:textId="77777777" w:rsidR="00412D3A" w:rsidRPr="00267E15" w:rsidRDefault="00412D3A" w:rsidP="00C73466">
            <w:pPr>
              <w:rPr>
                <w:rFonts w:ascii="Times New Roman" w:hAnsi="Times New Roman" w:cs="Times New Roman"/>
                <w:sz w:val="24"/>
                <w:szCs w:val="24"/>
                <w:lang w:val="en-US"/>
              </w:rPr>
            </w:pPr>
            <w:r w:rsidRPr="00267E15">
              <w:rPr>
                <w:rFonts w:ascii="Times New Roman" w:hAnsi="Times New Roman" w:cs="Times New Roman"/>
                <w:sz w:val="24"/>
                <w:szCs w:val="24"/>
                <w:lang w:val="en-US"/>
              </w:rPr>
              <w:t>1000</w:t>
            </w:r>
          </w:p>
        </w:tc>
        <w:tc>
          <w:tcPr>
            <w:tcW w:w="1667" w:type="pct"/>
          </w:tcPr>
          <w:p w14:paraId="709B8084" w14:textId="77777777" w:rsidR="00412D3A" w:rsidRPr="00267E15" w:rsidRDefault="00412D3A" w:rsidP="00C73466">
            <w:pPr>
              <w:rPr>
                <w:rFonts w:ascii="Times New Roman" w:hAnsi="Times New Roman" w:cs="Times New Roman"/>
                <w:sz w:val="24"/>
                <w:szCs w:val="24"/>
                <w:lang w:val="en-US"/>
              </w:rPr>
            </w:pPr>
            <w:r w:rsidRPr="00267E15">
              <w:rPr>
                <w:rFonts w:ascii="Times New Roman" w:hAnsi="Times New Roman" w:cs="Times New Roman"/>
                <w:sz w:val="24"/>
                <w:szCs w:val="24"/>
                <w:lang w:val="en-US"/>
              </w:rPr>
              <w:t>1000</w:t>
            </w:r>
          </w:p>
        </w:tc>
      </w:tr>
      <w:tr w:rsidR="00412D3A" w:rsidRPr="00267E15" w14:paraId="79778F1B" w14:textId="77777777" w:rsidTr="00476BD3">
        <w:tc>
          <w:tcPr>
            <w:tcW w:w="1666" w:type="pct"/>
          </w:tcPr>
          <w:p w14:paraId="0AB33EBF" w14:textId="77777777" w:rsidR="00412D3A" w:rsidRPr="00267E15" w:rsidRDefault="00412D3A" w:rsidP="00C73466">
            <w:pPr>
              <w:rPr>
                <w:rFonts w:ascii="Times New Roman" w:hAnsi="Times New Roman" w:cs="Times New Roman"/>
                <w:sz w:val="24"/>
                <w:szCs w:val="24"/>
                <w:lang w:val="en-US"/>
              </w:rPr>
            </w:pPr>
            <w:r w:rsidRPr="00267E15">
              <w:rPr>
                <w:rFonts w:ascii="Times New Roman" w:hAnsi="Times New Roman" w:cs="Times New Roman"/>
                <w:sz w:val="24"/>
                <w:szCs w:val="24"/>
                <w:lang w:val="en-US"/>
              </w:rPr>
              <w:t>20/07/2023</w:t>
            </w:r>
          </w:p>
        </w:tc>
        <w:tc>
          <w:tcPr>
            <w:tcW w:w="1666" w:type="pct"/>
          </w:tcPr>
          <w:p w14:paraId="197AED9F" w14:textId="77777777" w:rsidR="00412D3A" w:rsidRPr="00267E15" w:rsidRDefault="00412D3A" w:rsidP="00C73466">
            <w:pPr>
              <w:rPr>
                <w:rFonts w:ascii="Times New Roman" w:hAnsi="Times New Roman" w:cs="Times New Roman"/>
                <w:sz w:val="24"/>
                <w:szCs w:val="24"/>
                <w:lang w:val="en-US"/>
              </w:rPr>
            </w:pPr>
            <w:r w:rsidRPr="00267E15">
              <w:rPr>
                <w:rFonts w:ascii="Times New Roman" w:hAnsi="Times New Roman" w:cs="Times New Roman"/>
                <w:sz w:val="24"/>
                <w:szCs w:val="24"/>
                <w:lang w:val="en-US"/>
              </w:rPr>
              <w:t>1000</w:t>
            </w:r>
          </w:p>
        </w:tc>
        <w:tc>
          <w:tcPr>
            <w:tcW w:w="1667" w:type="pct"/>
          </w:tcPr>
          <w:p w14:paraId="1BFAA423" w14:textId="77777777" w:rsidR="00412D3A" w:rsidRPr="00267E15" w:rsidRDefault="00412D3A" w:rsidP="00C73466">
            <w:pPr>
              <w:rPr>
                <w:rFonts w:ascii="Times New Roman" w:hAnsi="Times New Roman" w:cs="Times New Roman"/>
                <w:sz w:val="24"/>
                <w:szCs w:val="24"/>
                <w:lang w:val="en-US"/>
              </w:rPr>
            </w:pPr>
            <w:r w:rsidRPr="00267E15">
              <w:rPr>
                <w:rFonts w:ascii="Times New Roman" w:hAnsi="Times New Roman" w:cs="Times New Roman"/>
                <w:sz w:val="24"/>
                <w:szCs w:val="24"/>
                <w:lang w:val="en-US"/>
              </w:rPr>
              <w:t>1000</w:t>
            </w:r>
          </w:p>
        </w:tc>
      </w:tr>
    </w:tbl>
    <w:p w14:paraId="7AB9E814" w14:textId="77777777" w:rsidR="00412D3A" w:rsidRPr="00267E15" w:rsidRDefault="00412D3A" w:rsidP="00476BD3">
      <w:pPr>
        <w:pStyle w:val="ListParagraph"/>
        <w:ind w:left="1080"/>
        <w:rPr>
          <w:rFonts w:ascii="Times New Roman" w:hAnsi="Times New Roman" w:cs="Times New Roman"/>
          <w:sz w:val="24"/>
          <w:szCs w:val="24"/>
          <w:lang w:val="en-US"/>
        </w:rPr>
      </w:pPr>
    </w:p>
    <w:p w14:paraId="49094F69" w14:textId="77777777" w:rsidR="00412D3A" w:rsidRPr="00267E15" w:rsidRDefault="00412D3A" w:rsidP="00412D3A">
      <w:pPr>
        <w:pStyle w:val="ListParagraph"/>
        <w:numPr>
          <w:ilvl w:val="0"/>
          <w:numId w:val="2"/>
        </w:numPr>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In this case, Mr. X has done intra-day buy and sell transactions. The shares bought on 04/07/2023 shall form a part of pre-preferential allotment shareholding which is further subject to lock-in as the date of buying falls between the relevant date i.e. 02-Jun-2023 and the date of allotment of securities i.e. 17-Jul-2023. But instead of putting the shares under lock-in, the allottee sold the shares on the same day which is non-compliance of regulation 167 (6) of SEBI (ICDR) Regulations, 2018.</w:t>
      </w:r>
    </w:p>
    <w:p w14:paraId="5FCE8E61" w14:textId="77777777" w:rsidR="00412D3A" w:rsidRPr="00267E15" w:rsidRDefault="00412D3A" w:rsidP="00831F43">
      <w:pPr>
        <w:pStyle w:val="ListParagraph"/>
        <w:ind w:left="1080"/>
        <w:jc w:val="both"/>
        <w:rPr>
          <w:rFonts w:ascii="Times New Roman" w:hAnsi="Times New Roman" w:cs="Times New Roman"/>
          <w:sz w:val="24"/>
          <w:szCs w:val="24"/>
          <w:lang w:val="en-US"/>
        </w:rPr>
      </w:pPr>
    </w:p>
    <w:p w14:paraId="00210CAA" w14:textId="4BA1ACD9" w:rsidR="00831F43" w:rsidRPr="00267E15" w:rsidRDefault="008B1629" w:rsidP="00476BD3">
      <w:pPr>
        <w:pStyle w:val="ListParagraph"/>
        <w:ind w:left="1080"/>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Therefore, Mr. X becomes ineligible under the said preferential issue and no allotment can be made to him.</w:t>
      </w:r>
    </w:p>
    <w:p w14:paraId="2952E31A" w14:textId="6BDF244D" w:rsidR="003D4BFD" w:rsidRPr="00267E15" w:rsidRDefault="003D4BFD" w:rsidP="00EC5C36">
      <w:pPr>
        <w:pStyle w:val="ListParagraph"/>
        <w:ind w:left="284" w:hanging="284"/>
        <w:jc w:val="both"/>
        <w:rPr>
          <w:rFonts w:ascii="Times New Roman" w:hAnsi="Times New Roman" w:cs="Times New Roman"/>
          <w:sz w:val="24"/>
          <w:szCs w:val="24"/>
        </w:rPr>
      </w:pPr>
    </w:p>
    <w:p w14:paraId="264FE5E6" w14:textId="252B14D6" w:rsidR="00297392" w:rsidRPr="00267E15" w:rsidRDefault="00952F53" w:rsidP="00297392">
      <w:pPr>
        <w:pStyle w:val="ListParagraph"/>
        <w:numPr>
          <w:ilvl w:val="0"/>
          <w:numId w:val="5"/>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Statement of holding</w:t>
      </w:r>
      <w:r w:rsidR="00297392" w:rsidRPr="00267E15">
        <w:rPr>
          <w:rFonts w:ascii="Times New Roman" w:hAnsi="Times New Roman" w:cs="Times New Roman"/>
          <w:sz w:val="24"/>
          <w:szCs w:val="24"/>
          <w:lang w:val="en-US"/>
        </w:rPr>
        <w:t xml:space="preserve"> to be provided shall be:</w:t>
      </w:r>
    </w:p>
    <w:p w14:paraId="62337FB2" w14:textId="77777777" w:rsidR="00297392" w:rsidRPr="00267E15" w:rsidRDefault="00297392" w:rsidP="00297392">
      <w:pPr>
        <w:pStyle w:val="ListParagraph"/>
        <w:numPr>
          <w:ilvl w:val="0"/>
          <w:numId w:val="6"/>
        </w:numPr>
        <w:ind w:left="851"/>
        <w:jc w:val="both"/>
        <w:rPr>
          <w:rFonts w:ascii="Times New Roman" w:hAnsi="Times New Roman" w:cs="Times New Roman"/>
          <w:sz w:val="24"/>
          <w:szCs w:val="24"/>
          <w:lang w:val="en-US"/>
        </w:rPr>
      </w:pPr>
      <w:r w:rsidRPr="00267E15">
        <w:rPr>
          <w:rFonts w:ascii="Times New Roman" w:hAnsi="Times New Roman" w:cs="Times New Roman"/>
          <w:sz w:val="24"/>
          <w:szCs w:val="24"/>
        </w:rPr>
        <w:t>duly certified,</w:t>
      </w:r>
    </w:p>
    <w:p w14:paraId="6CB6B304" w14:textId="77777777" w:rsidR="00297392" w:rsidRPr="00267E15" w:rsidRDefault="00297392" w:rsidP="00297392">
      <w:pPr>
        <w:pStyle w:val="ListParagraph"/>
        <w:numPr>
          <w:ilvl w:val="0"/>
          <w:numId w:val="6"/>
        </w:numPr>
        <w:ind w:left="851"/>
        <w:jc w:val="both"/>
        <w:rPr>
          <w:rFonts w:ascii="Times New Roman" w:hAnsi="Times New Roman" w:cs="Times New Roman"/>
          <w:sz w:val="24"/>
          <w:szCs w:val="24"/>
          <w:lang w:val="en-US"/>
        </w:rPr>
      </w:pPr>
      <w:r w:rsidRPr="00267E15">
        <w:rPr>
          <w:rFonts w:ascii="Times New Roman" w:hAnsi="Times New Roman" w:cs="Times New Roman"/>
          <w:sz w:val="24"/>
          <w:szCs w:val="24"/>
        </w:rPr>
        <w:t>issued by the Depository Participant,</w:t>
      </w:r>
    </w:p>
    <w:p w14:paraId="37FE9B1D" w14:textId="210AD839" w:rsidR="00297392" w:rsidRPr="00267E15" w:rsidRDefault="00952F53" w:rsidP="00297392">
      <w:pPr>
        <w:pStyle w:val="ListParagraph"/>
        <w:numPr>
          <w:ilvl w:val="0"/>
          <w:numId w:val="6"/>
        </w:numPr>
        <w:ind w:left="851"/>
        <w:jc w:val="both"/>
        <w:rPr>
          <w:rFonts w:ascii="Times New Roman" w:hAnsi="Times New Roman" w:cs="Times New Roman"/>
          <w:sz w:val="24"/>
          <w:szCs w:val="24"/>
          <w:lang w:val="en-US"/>
        </w:rPr>
      </w:pPr>
      <w:r w:rsidRPr="00267E15">
        <w:rPr>
          <w:rFonts w:ascii="Times New Roman" w:hAnsi="Times New Roman" w:cs="Times New Roman"/>
          <w:sz w:val="24"/>
          <w:szCs w:val="24"/>
        </w:rPr>
        <w:t xml:space="preserve">as on the date of allotment of </w:t>
      </w:r>
      <w:r w:rsidR="00175122" w:rsidRPr="00267E15">
        <w:rPr>
          <w:rFonts w:ascii="Times New Roman" w:hAnsi="Times New Roman" w:cs="Times New Roman"/>
          <w:sz w:val="24"/>
          <w:szCs w:val="24"/>
        </w:rPr>
        <w:t>convertible securities or equity shares, as the case may be</w:t>
      </w:r>
      <w:r w:rsidR="00A92877" w:rsidRPr="00267E15">
        <w:rPr>
          <w:rFonts w:ascii="Times New Roman" w:hAnsi="Times New Roman" w:cs="Times New Roman"/>
          <w:sz w:val="24"/>
          <w:szCs w:val="24"/>
        </w:rPr>
        <w:t>.</w:t>
      </w:r>
    </w:p>
    <w:p w14:paraId="3D916859" w14:textId="1C9CA845" w:rsidR="00297392" w:rsidRPr="00267E15" w:rsidRDefault="00297392" w:rsidP="00297392">
      <w:pPr>
        <w:pStyle w:val="ListParagraph"/>
        <w:numPr>
          <w:ilvl w:val="0"/>
          <w:numId w:val="6"/>
        </w:numPr>
        <w:ind w:left="851"/>
        <w:jc w:val="both"/>
        <w:rPr>
          <w:rFonts w:ascii="Times New Roman" w:hAnsi="Times New Roman" w:cs="Times New Roman"/>
          <w:sz w:val="24"/>
          <w:szCs w:val="24"/>
          <w:lang w:val="en-US"/>
        </w:rPr>
      </w:pPr>
      <w:r w:rsidRPr="00267E15">
        <w:rPr>
          <w:rFonts w:ascii="Times New Roman" w:hAnsi="Times New Roman" w:cs="Times New Roman"/>
          <w:sz w:val="24"/>
          <w:szCs w:val="24"/>
        </w:rPr>
        <w:t>reflect lock-in end date of entire pre-preferential</w:t>
      </w:r>
      <w:r w:rsidR="00952F53" w:rsidRPr="00267E15">
        <w:rPr>
          <w:rFonts w:ascii="Times New Roman" w:hAnsi="Times New Roman" w:cs="Times New Roman"/>
          <w:sz w:val="24"/>
          <w:szCs w:val="24"/>
        </w:rPr>
        <w:t xml:space="preserve"> allotment</w:t>
      </w:r>
      <w:r w:rsidRPr="00267E15">
        <w:rPr>
          <w:rFonts w:ascii="Times New Roman" w:hAnsi="Times New Roman" w:cs="Times New Roman"/>
          <w:sz w:val="24"/>
          <w:szCs w:val="24"/>
        </w:rPr>
        <w:t xml:space="preserve"> </w:t>
      </w:r>
      <w:r w:rsidR="00981EA7" w:rsidRPr="00267E15">
        <w:rPr>
          <w:rFonts w:ascii="Times New Roman" w:hAnsi="Times New Roman" w:cs="Times New Roman"/>
          <w:sz w:val="24"/>
          <w:szCs w:val="24"/>
        </w:rPr>
        <w:t>holding.</w:t>
      </w:r>
    </w:p>
    <w:p w14:paraId="6D257580" w14:textId="77777777" w:rsidR="003D4BFD" w:rsidRPr="00267E15" w:rsidRDefault="003D4BFD" w:rsidP="00EC5C36">
      <w:pPr>
        <w:pStyle w:val="ListParagraph"/>
        <w:ind w:left="284" w:hanging="284"/>
        <w:jc w:val="both"/>
        <w:rPr>
          <w:rFonts w:ascii="Times New Roman" w:hAnsi="Times New Roman" w:cs="Times New Roman"/>
          <w:b/>
          <w:bCs/>
          <w:sz w:val="24"/>
          <w:szCs w:val="24"/>
          <w:u w:val="single"/>
          <w:lang w:val="en-US"/>
        </w:rPr>
      </w:pPr>
    </w:p>
    <w:p w14:paraId="68707A9D" w14:textId="1D810CEB" w:rsidR="003D4BFD" w:rsidRPr="00267E15" w:rsidRDefault="003D4BFD" w:rsidP="00EC5C36">
      <w:pPr>
        <w:pStyle w:val="ListParagraph"/>
        <w:numPr>
          <w:ilvl w:val="0"/>
          <w:numId w:val="2"/>
        </w:numPr>
        <w:ind w:left="284" w:hanging="284"/>
        <w:jc w:val="both"/>
        <w:rPr>
          <w:rFonts w:ascii="Times New Roman" w:hAnsi="Times New Roman" w:cs="Times New Roman"/>
          <w:b/>
          <w:bCs/>
          <w:sz w:val="24"/>
          <w:szCs w:val="24"/>
          <w:u w:val="single"/>
          <w:lang w:val="en-US"/>
        </w:rPr>
      </w:pPr>
      <w:r w:rsidRPr="00267E15">
        <w:rPr>
          <w:rFonts w:ascii="Times New Roman" w:hAnsi="Times New Roman" w:cs="Times New Roman"/>
          <w:sz w:val="24"/>
          <w:szCs w:val="24"/>
        </w:rPr>
        <w:t xml:space="preserve">Full consideration of specified securities other than warrants, shall be paid by the allottees </w:t>
      </w:r>
      <w:r w:rsidR="00FD381E" w:rsidRPr="00267E15">
        <w:rPr>
          <w:rFonts w:ascii="Times New Roman" w:hAnsi="Times New Roman" w:cs="Times New Roman"/>
          <w:sz w:val="24"/>
          <w:szCs w:val="24"/>
        </w:rPr>
        <w:t xml:space="preserve">on or before the date of </w:t>
      </w:r>
      <w:r w:rsidRPr="00267E15">
        <w:rPr>
          <w:rFonts w:ascii="Times New Roman" w:hAnsi="Times New Roman" w:cs="Times New Roman"/>
          <w:sz w:val="24"/>
          <w:szCs w:val="24"/>
        </w:rPr>
        <w:t>allotment of such specified securities</w:t>
      </w:r>
      <w:r w:rsidR="00FD381E" w:rsidRPr="00267E15">
        <w:rPr>
          <w:rFonts w:ascii="Times New Roman" w:hAnsi="Times New Roman" w:cs="Times New Roman"/>
          <w:sz w:val="24"/>
          <w:szCs w:val="24"/>
        </w:rPr>
        <w:t>.</w:t>
      </w:r>
    </w:p>
    <w:p w14:paraId="4A522482" w14:textId="77777777" w:rsidR="003D4BFD" w:rsidRPr="00267E15" w:rsidRDefault="003D4BFD" w:rsidP="00EC5C36">
      <w:pPr>
        <w:pStyle w:val="ListParagraph"/>
        <w:ind w:left="284" w:hanging="284"/>
        <w:jc w:val="both"/>
        <w:rPr>
          <w:rFonts w:ascii="Times New Roman" w:hAnsi="Times New Roman" w:cs="Times New Roman"/>
          <w:b/>
          <w:bCs/>
          <w:sz w:val="24"/>
          <w:szCs w:val="24"/>
          <w:u w:val="single"/>
          <w:lang w:val="en-US"/>
        </w:rPr>
      </w:pPr>
    </w:p>
    <w:p w14:paraId="60B2E6EE" w14:textId="7AD95455" w:rsidR="003D4BFD" w:rsidRPr="00267E15" w:rsidRDefault="003D4BFD" w:rsidP="00EC5C36">
      <w:pPr>
        <w:pStyle w:val="ListParagraph"/>
        <w:numPr>
          <w:ilvl w:val="0"/>
          <w:numId w:val="2"/>
        </w:numPr>
        <w:ind w:left="284" w:hanging="284"/>
        <w:jc w:val="both"/>
        <w:rPr>
          <w:rFonts w:ascii="Times New Roman" w:hAnsi="Times New Roman" w:cs="Times New Roman"/>
          <w:b/>
          <w:bCs/>
          <w:sz w:val="24"/>
          <w:szCs w:val="24"/>
          <w:u w:val="single"/>
          <w:lang w:val="en-US"/>
        </w:rPr>
      </w:pPr>
      <w:r w:rsidRPr="00267E15">
        <w:rPr>
          <w:rFonts w:ascii="Times New Roman" w:hAnsi="Times New Roman" w:cs="Times New Roman"/>
          <w:sz w:val="24"/>
          <w:szCs w:val="24"/>
        </w:rPr>
        <w:t>In the case of warrants, an amount equivalent to at least 25% of the consideration shall be paid against each warrant on</w:t>
      </w:r>
      <w:r w:rsidR="00297392" w:rsidRPr="00267E15">
        <w:rPr>
          <w:rFonts w:ascii="Times New Roman" w:hAnsi="Times New Roman" w:cs="Times New Roman"/>
          <w:sz w:val="24"/>
          <w:szCs w:val="24"/>
        </w:rPr>
        <w:t xml:space="preserve"> or before</w:t>
      </w:r>
      <w:r w:rsidRPr="00267E15">
        <w:rPr>
          <w:rFonts w:ascii="Times New Roman" w:hAnsi="Times New Roman" w:cs="Times New Roman"/>
          <w:sz w:val="24"/>
          <w:szCs w:val="24"/>
        </w:rPr>
        <w:t xml:space="preserve"> the date of allotment of warrants and the balance 75% of the consideration shall be paid </w:t>
      </w:r>
      <w:r w:rsidR="00FD381E" w:rsidRPr="00267E15">
        <w:rPr>
          <w:rFonts w:ascii="Times New Roman" w:hAnsi="Times New Roman" w:cs="Times New Roman"/>
          <w:sz w:val="24"/>
          <w:szCs w:val="24"/>
        </w:rPr>
        <w:t xml:space="preserve">on or before the date </w:t>
      </w:r>
      <w:r w:rsidRPr="00267E15">
        <w:rPr>
          <w:rFonts w:ascii="Times New Roman" w:hAnsi="Times New Roman" w:cs="Times New Roman"/>
          <w:sz w:val="24"/>
          <w:szCs w:val="24"/>
        </w:rPr>
        <w:t>of allotment of the equity shares</w:t>
      </w:r>
      <w:r w:rsidR="00FD381E" w:rsidRPr="00267E15">
        <w:rPr>
          <w:rFonts w:ascii="Times New Roman" w:hAnsi="Times New Roman" w:cs="Times New Roman"/>
          <w:sz w:val="24"/>
          <w:szCs w:val="24"/>
        </w:rPr>
        <w:t>.</w:t>
      </w:r>
    </w:p>
    <w:p w14:paraId="67839352" w14:textId="77777777" w:rsidR="003D4BFD" w:rsidRPr="00267E15" w:rsidRDefault="003D4BFD" w:rsidP="00EC5C36">
      <w:pPr>
        <w:pStyle w:val="ListParagraph"/>
        <w:ind w:left="284" w:hanging="284"/>
        <w:jc w:val="both"/>
        <w:rPr>
          <w:rFonts w:ascii="Times New Roman" w:hAnsi="Times New Roman" w:cs="Times New Roman"/>
          <w:b/>
          <w:bCs/>
          <w:sz w:val="24"/>
          <w:szCs w:val="24"/>
          <w:u w:val="single"/>
          <w:lang w:val="en-US"/>
        </w:rPr>
      </w:pPr>
    </w:p>
    <w:p w14:paraId="4B2863A5" w14:textId="74851963" w:rsidR="003D4BFD" w:rsidRPr="00267E15" w:rsidRDefault="003D4BFD" w:rsidP="00EC5C36">
      <w:pPr>
        <w:pStyle w:val="ListParagraph"/>
        <w:numPr>
          <w:ilvl w:val="0"/>
          <w:numId w:val="2"/>
        </w:numPr>
        <w:ind w:left="284" w:hanging="284"/>
        <w:jc w:val="both"/>
        <w:rPr>
          <w:rFonts w:ascii="Times New Roman" w:hAnsi="Times New Roman" w:cs="Times New Roman"/>
          <w:b/>
          <w:bCs/>
          <w:sz w:val="24"/>
          <w:szCs w:val="24"/>
          <w:u w:val="single"/>
          <w:lang w:val="en-US"/>
        </w:rPr>
      </w:pPr>
      <w:r w:rsidRPr="00267E15">
        <w:rPr>
          <w:rFonts w:ascii="Times New Roman" w:hAnsi="Times New Roman" w:cs="Times New Roman"/>
          <w:sz w:val="24"/>
          <w:szCs w:val="24"/>
        </w:rPr>
        <w:t>The issuer shall ensure that the consideration of specified securities, if paid in cash, shall be received from respective allottee's bank account and in the case of joint holders, shall be received from the bank account of the person whose name appears first in the application</w:t>
      </w:r>
      <w:r w:rsidR="0049464B" w:rsidRPr="00267E15">
        <w:rPr>
          <w:rFonts w:ascii="Times New Roman" w:hAnsi="Times New Roman" w:cs="Times New Roman"/>
          <w:sz w:val="24"/>
          <w:szCs w:val="24"/>
        </w:rPr>
        <w:t>.</w:t>
      </w:r>
    </w:p>
    <w:p w14:paraId="2E7B4751" w14:textId="77777777" w:rsidR="003D4BFD" w:rsidRPr="00267E15" w:rsidRDefault="003D4BFD" w:rsidP="00EC5C36">
      <w:pPr>
        <w:pStyle w:val="ListParagraph"/>
        <w:ind w:left="284" w:hanging="284"/>
        <w:jc w:val="both"/>
        <w:rPr>
          <w:rFonts w:ascii="Times New Roman" w:hAnsi="Times New Roman" w:cs="Times New Roman"/>
          <w:b/>
          <w:bCs/>
          <w:sz w:val="24"/>
          <w:szCs w:val="24"/>
          <w:u w:val="single"/>
          <w:lang w:val="en-US"/>
        </w:rPr>
      </w:pPr>
    </w:p>
    <w:p w14:paraId="04B3A909" w14:textId="77777777" w:rsidR="0049464B" w:rsidRPr="00267E15" w:rsidRDefault="003D4BFD" w:rsidP="00E9625F">
      <w:pPr>
        <w:pStyle w:val="ListParagraph"/>
        <w:numPr>
          <w:ilvl w:val="0"/>
          <w:numId w:val="2"/>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rPr>
        <w:t>Allotment of the specified securities shall be made only in dematerialised form.</w:t>
      </w:r>
    </w:p>
    <w:p w14:paraId="7B6883E0" w14:textId="77777777" w:rsidR="0049464B" w:rsidRPr="00267E15" w:rsidRDefault="0049464B" w:rsidP="0049464B">
      <w:pPr>
        <w:pStyle w:val="ListParagraph"/>
        <w:rPr>
          <w:rFonts w:ascii="Times New Roman" w:hAnsi="Times New Roman" w:cs="Times New Roman"/>
          <w:sz w:val="24"/>
          <w:szCs w:val="24"/>
          <w:lang w:val="en-US"/>
        </w:rPr>
      </w:pPr>
    </w:p>
    <w:p w14:paraId="50048446" w14:textId="3F6FDA28" w:rsidR="00E94938" w:rsidRPr="00267E15" w:rsidRDefault="00FA4F2C" w:rsidP="00E9625F">
      <w:pPr>
        <w:pStyle w:val="ListParagraph"/>
        <w:numPr>
          <w:ilvl w:val="0"/>
          <w:numId w:val="2"/>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Ensure payment of additional listing fees</w:t>
      </w:r>
      <w:r w:rsidR="007D6406" w:rsidRPr="00267E15">
        <w:rPr>
          <w:rFonts w:ascii="Times New Roman" w:hAnsi="Times New Roman" w:cs="Times New Roman"/>
          <w:sz w:val="24"/>
          <w:szCs w:val="24"/>
          <w:lang w:val="en-US"/>
        </w:rPr>
        <w:t>, if any, as per the slab rates available on the exchange website on the following path:</w:t>
      </w:r>
    </w:p>
    <w:p w14:paraId="096C0078" w14:textId="22E16825" w:rsidR="00EB1BC0" w:rsidRPr="00267E15" w:rsidRDefault="00EB1BC0" w:rsidP="001E3D75">
      <w:pPr>
        <w:pStyle w:val="ListParagraph"/>
        <w:numPr>
          <w:ilvl w:val="0"/>
          <w:numId w:val="8"/>
        </w:numPr>
        <w:autoSpaceDE w:val="0"/>
        <w:autoSpaceDN w:val="0"/>
        <w:adjustRightInd w:val="0"/>
        <w:spacing w:after="0" w:line="240" w:lineRule="auto"/>
        <w:rPr>
          <w:rFonts w:ascii="Times New Roman" w:hAnsi="Times New Roman" w:cs="Times New Roman"/>
          <w:sz w:val="24"/>
          <w:szCs w:val="24"/>
          <w:lang w:val="en-US"/>
        </w:rPr>
      </w:pPr>
      <w:r w:rsidRPr="00267E15">
        <w:rPr>
          <w:rFonts w:ascii="Times New Roman" w:hAnsi="Times New Roman" w:cs="Times New Roman"/>
          <w:sz w:val="24"/>
          <w:szCs w:val="24"/>
          <w:u w:val="single"/>
          <w:lang w:val="en-US"/>
        </w:rPr>
        <w:t>For companies listed on Main Board:</w:t>
      </w:r>
      <w:r w:rsidRPr="00267E15">
        <w:rPr>
          <w:rFonts w:ascii="Times New Roman" w:hAnsi="Times New Roman" w:cs="Times New Roman"/>
          <w:sz w:val="24"/>
          <w:szCs w:val="24"/>
          <w:lang w:val="en-US"/>
        </w:rPr>
        <w:t xml:space="preserve"> https://www.nseindia.com/companies-listing/raising-capitalpublic-issues-listing-fees</w:t>
      </w:r>
    </w:p>
    <w:p w14:paraId="427D7614" w14:textId="0843D42B" w:rsidR="007D6406" w:rsidRPr="00267E15" w:rsidRDefault="00EB1BC0" w:rsidP="001E3D75">
      <w:pPr>
        <w:pStyle w:val="ListParagraph"/>
        <w:numPr>
          <w:ilvl w:val="0"/>
          <w:numId w:val="8"/>
        </w:numPr>
        <w:autoSpaceDE w:val="0"/>
        <w:autoSpaceDN w:val="0"/>
        <w:adjustRightInd w:val="0"/>
        <w:spacing w:after="0" w:line="240" w:lineRule="auto"/>
        <w:rPr>
          <w:rFonts w:ascii="Times New Roman" w:hAnsi="Times New Roman" w:cs="Times New Roman"/>
          <w:sz w:val="24"/>
          <w:szCs w:val="24"/>
          <w:lang w:val="en-US"/>
        </w:rPr>
      </w:pPr>
      <w:r w:rsidRPr="00267E15">
        <w:rPr>
          <w:rFonts w:ascii="Times New Roman" w:hAnsi="Times New Roman" w:cs="Times New Roman"/>
          <w:sz w:val="24"/>
          <w:szCs w:val="24"/>
          <w:u w:val="single"/>
          <w:lang w:val="en-US"/>
        </w:rPr>
        <w:t>For companies listed on SME Board:</w:t>
      </w:r>
      <w:r w:rsidRPr="00267E15">
        <w:rPr>
          <w:rFonts w:ascii="Times New Roman" w:hAnsi="Times New Roman" w:cs="Times New Roman"/>
          <w:sz w:val="24"/>
          <w:szCs w:val="24"/>
          <w:lang w:val="en-US"/>
        </w:rPr>
        <w:t xml:space="preserve"> https://www.nseindia.com/companies-listing/raising-capital-smeitp-public-issues-listing-fees</w:t>
      </w:r>
    </w:p>
    <w:p w14:paraId="5EDFD438" w14:textId="77777777" w:rsidR="00E94938" w:rsidRPr="00267E15" w:rsidRDefault="00E94938" w:rsidP="00EC5C36">
      <w:pPr>
        <w:pStyle w:val="ListParagraph"/>
        <w:ind w:left="284" w:hanging="284"/>
        <w:jc w:val="both"/>
        <w:rPr>
          <w:rFonts w:ascii="Times New Roman" w:hAnsi="Times New Roman" w:cs="Times New Roman"/>
          <w:sz w:val="24"/>
          <w:szCs w:val="24"/>
          <w:lang w:val="en-US"/>
        </w:rPr>
      </w:pPr>
    </w:p>
    <w:p w14:paraId="33C07CB7" w14:textId="4F895C83" w:rsidR="00782750" w:rsidRPr="00267E15" w:rsidRDefault="005137C1" w:rsidP="00782750">
      <w:pPr>
        <w:pStyle w:val="ListParagraph"/>
        <w:numPr>
          <w:ilvl w:val="0"/>
          <w:numId w:val="7"/>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 xml:space="preserve">Ensure compliance with </w:t>
      </w:r>
      <w:r w:rsidR="00BE518E" w:rsidRPr="00267E15">
        <w:rPr>
          <w:rFonts w:ascii="Times New Roman" w:hAnsi="Times New Roman" w:cs="Times New Roman"/>
          <w:sz w:val="24"/>
          <w:szCs w:val="24"/>
          <w:lang w:val="en-US"/>
        </w:rPr>
        <w:t>item</w:t>
      </w:r>
      <w:r w:rsidR="002F2CBB" w:rsidRPr="00267E15">
        <w:rPr>
          <w:rFonts w:ascii="Times New Roman" w:hAnsi="Times New Roman" w:cs="Times New Roman"/>
          <w:sz w:val="24"/>
          <w:szCs w:val="24"/>
          <w:lang w:val="en-US"/>
        </w:rPr>
        <w:t xml:space="preserve"> </w:t>
      </w:r>
      <w:r w:rsidR="00BE518E" w:rsidRPr="00267E15">
        <w:rPr>
          <w:rFonts w:ascii="Times New Roman" w:hAnsi="Times New Roman" w:cs="Times New Roman"/>
          <w:sz w:val="24"/>
          <w:szCs w:val="24"/>
          <w:lang w:val="en-US"/>
        </w:rPr>
        <w:t>n</w:t>
      </w:r>
      <w:r w:rsidR="002F2CBB" w:rsidRPr="00267E15">
        <w:rPr>
          <w:rFonts w:ascii="Times New Roman" w:hAnsi="Times New Roman" w:cs="Times New Roman"/>
          <w:sz w:val="24"/>
          <w:szCs w:val="24"/>
          <w:lang w:val="en-US"/>
        </w:rPr>
        <w:t xml:space="preserve">o. 3.1 of </w:t>
      </w:r>
      <w:r w:rsidR="00BE518E" w:rsidRPr="00267E15">
        <w:rPr>
          <w:rFonts w:ascii="Times New Roman" w:hAnsi="Times New Roman" w:cs="Times New Roman"/>
          <w:sz w:val="24"/>
          <w:szCs w:val="24"/>
          <w:lang w:val="en-US"/>
        </w:rPr>
        <w:t>a</w:t>
      </w:r>
      <w:r w:rsidR="002F2CBB" w:rsidRPr="00267E15">
        <w:rPr>
          <w:rFonts w:ascii="Times New Roman" w:hAnsi="Times New Roman" w:cs="Times New Roman"/>
          <w:sz w:val="24"/>
          <w:szCs w:val="24"/>
          <w:lang w:val="en-US"/>
        </w:rPr>
        <w:t xml:space="preserve">nnexure A of NSE Circular no. NSE/CML/2023/51 dated July 05, </w:t>
      </w:r>
      <w:r w:rsidR="0038302E" w:rsidRPr="00267E15">
        <w:rPr>
          <w:rFonts w:ascii="Times New Roman" w:hAnsi="Times New Roman" w:cs="Times New Roman"/>
          <w:sz w:val="24"/>
          <w:szCs w:val="24"/>
          <w:lang w:val="en-US"/>
        </w:rPr>
        <w:t>2023,</w:t>
      </w:r>
      <w:r w:rsidR="002F2CBB" w:rsidRPr="00267E15">
        <w:rPr>
          <w:rFonts w:ascii="Times New Roman" w:hAnsi="Times New Roman" w:cs="Times New Roman"/>
          <w:sz w:val="24"/>
          <w:szCs w:val="24"/>
          <w:lang w:val="en-US"/>
        </w:rPr>
        <w:t xml:space="preserve"> </w:t>
      </w:r>
      <w:r w:rsidRPr="00267E15">
        <w:rPr>
          <w:rFonts w:ascii="Times New Roman" w:hAnsi="Times New Roman" w:cs="Times New Roman"/>
          <w:sz w:val="24"/>
          <w:szCs w:val="24"/>
          <w:lang w:val="en-US"/>
        </w:rPr>
        <w:t>and upload the Issue summary document with either of stock exchange at time of submitting the application.</w:t>
      </w:r>
    </w:p>
    <w:p w14:paraId="31312EFA" w14:textId="77777777" w:rsidR="00782750" w:rsidRPr="00267E15" w:rsidRDefault="00782750" w:rsidP="00782750">
      <w:pPr>
        <w:pStyle w:val="ListParagraph"/>
        <w:ind w:left="284"/>
        <w:jc w:val="both"/>
        <w:rPr>
          <w:rFonts w:ascii="Times New Roman" w:hAnsi="Times New Roman" w:cs="Times New Roman"/>
          <w:sz w:val="24"/>
          <w:szCs w:val="24"/>
          <w:lang w:val="en-US"/>
        </w:rPr>
      </w:pPr>
    </w:p>
    <w:p w14:paraId="3D96047B" w14:textId="4FA68D1C" w:rsidR="00A20688" w:rsidRPr="00267E15" w:rsidRDefault="000A1D26" w:rsidP="00A20688">
      <w:pPr>
        <w:pStyle w:val="ListParagraph"/>
        <w:numPr>
          <w:ilvl w:val="0"/>
          <w:numId w:val="7"/>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The company</w:t>
      </w:r>
      <w:r w:rsidR="00A20688" w:rsidRPr="00267E15">
        <w:rPr>
          <w:rFonts w:ascii="Times New Roman" w:hAnsi="Times New Roman" w:cs="Times New Roman"/>
          <w:sz w:val="24"/>
          <w:szCs w:val="24"/>
          <w:lang w:val="en-US"/>
        </w:rPr>
        <w:t xml:space="preserve"> shall ensure compliance with the conditions for continuous listing of equity shares as specified in the listing agreement with the stock exchange where the equity shares of the issuer are listed.</w:t>
      </w:r>
    </w:p>
    <w:p w14:paraId="3F36AB70" w14:textId="77777777" w:rsidR="00A20688" w:rsidRPr="00267E15" w:rsidRDefault="00A20688" w:rsidP="00A20688">
      <w:pPr>
        <w:pStyle w:val="ListParagraph"/>
        <w:ind w:left="284" w:hanging="284"/>
        <w:jc w:val="both"/>
        <w:rPr>
          <w:rFonts w:ascii="Times New Roman" w:hAnsi="Times New Roman" w:cs="Times New Roman"/>
          <w:sz w:val="24"/>
          <w:szCs w:val="24"/>
          <w:lang w:val="en-US"/>
        </w:rPr>
      </w:pPr>
    </w:p>
    <w:p w14:paraId="2F5BCFD7" w14:textId="79A14017" w:rsidR="00A20688" w:rsidRPr="00267E15" w:rsidRDefault="00A20688" w:rsidP="00A20688">
      <w:pPr>
        <w:pStyle w:val="ListParagraph"/>
        <w:numPr>
          <w:ilvl w:val="0"/>
          <w:numId w:val="7"/>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 xml:space="preserve">Ensure there are no outstanding </w:t>
      </w:r>
      <w:r w:rsidR="00E03FFB" w:rsidRPr="00267E15">
        <w:rPr>
          <w:rFonts w:ascii="Times New Roman" w:hAnsi="Times New Roman" w:cs="Times New Roman"/>
          <w:sz w:val="24"/>
          <w:szCs w:val="24"/>
          <w:lang w:val="en-US"/>
        </w:rPr>
        <w:t>dues</w:t>
      </w:r>
      <w:r w:rsidRPr="00267E15">
        <w:rPr>
          <w:rFonts w:ascii="Times New Roman" w:hAnsi="Times New Roman" w:cs="Times New Roman"/>
          <w:sz w:val="24"/>
          <w:szCs w:val="24"/>
          <w:lang w:val="en-US"/>
        </w:rPr>
        <w:t xml:space="preserve"> like pending SOP fines, annual listing fees, processing fees, etc.</w:t>
      </w:r>
    </w:p>
    <w:p w14:paraId="7DA1F58F" w14:textId="77777777" w:rsidR="00782750" w:rsidRPr="00267E15" w:rsidRDefault="00782750" w:rsidP="00782750">
      <w:pPr>
        <w:pStyle w:val="ListParagraph"/>
        <w:ind w:left="284"/>
        <w:jc w:val="both"/>
        <w:rPr>
          <w:rFonts w:ascii="Times New Roman" w:hAnsi="Times New Roman" w:cs="Times New Roman"/>
          <w:sz w:val="24"/>
          <w:szCs w:val="24"/>
          <w:lang w:val="en-US"/>
        </w:rPr>
      </w:pPr>
    </w:p>
    <w:p w14:paraId="73EAB993" w14:textId="77777777" w:rsidR="00A20688" w:rsidRPr="00267E15" w:rsidRDefault="00A20688" w:rsidP="00A20688">
      <w:pPr>
        <w:pStyle w:val="ListParagraph"/>
        <w:numPr>
          <w:ilvl w:val="0"/>
          <w:numId w:val="7"/>
        </w:numPr>
        <w:ind w:left="284" w:hanging="284"/>
        <w:jc w:val="both"/>
        <w:rPr>
          <w:rFonts w:ascii="Times New Roman" w:hAnsi="Times New Roman" w:cs="Times New Roman"/>
          <w:sz w:val="24"/>
          <w:szCs w:val="24"/>
          <w:lang w:val="en-US"/>
        </w:rPr>
      </w:pPr>
      <w:r w:rsidRPr="00267E15">
        <w:rPr>
          <w:rFonts w:ascii="Times New Roman" w:hAnsi="Times New Roman" w:cs="Times New Roman"/>
          <w:sz w:val="24"/>
          <w:szCs w:val="24"/>
          <w:lang w:val="en-US"/>
        </w:rPr>
        <w:t>Ensure compliance with SEBI (SAST) Regulations, 2011 and other applicable regulations.</w:t>
      </w:r>
    </w:p>
    <w:p w14:paraId="704F0735" w14:textId="77777777" w:rsidR="00F72DEE" w:rsidRPr="00EC5C36" w:rsidRDefault="00F72DEE" w:rsidP="00EC5C36">
      <w:pPr>
        <w:pStyle w:val="ListParagraph"/>
        <w:ind w:left="284" w:hanging="284"/>
        <w:jc w:val="both"/>
        <w:rPr>
          <w:rFonts w:ascii="Times New Roman" w:hAnsi="Times New Roman" w:cs="Times New Roman"/>
          <w:sz w:val="24"/>
          <w:szCs w:val="24"/>
          <w:lang w:val="en-US"/>
        </w:rPr>
      </w:pPr>
    </w:p>
    <w:p w14:paraId="3A95F338" w14:textId="77777777" w:rsidR="00137CCA" w:rsidRPr="00137CCA" w:rsidRDefault="00137CCA" w:rsidP="00137CCA">
      <w:pPr>
        <w:pStyle w:val="ListParagraph"/>
        <w:rPr>
          <w:rFonts w:ascii="Times New Roman" w:hAnsi="Times New Roman" w:cs="Times New Roman"/>
          <w:sz w:val="24"/>
          <w:szCs w:val="24"/>
          <w:lang w:val="en-US"/>
        </w:rPr>
      </w:pPr>
    </w:p>
    <w:p w14:paraId="05011849" w14:textId="77777777" w:rsidR="00F72DEE" w:rsidRPr="00476BD3" w:rsidRDefault="00F72DEE" w:rsidP="00476BD3">
      <w:pPr>
        <w:jc w:val="both"/>
        <w:rPr>
          <w:rFonts w:ascii="Times New Roman" w:hAnsi="Times New Roman" w:cs="Times New Roman"/>
          <w:sz w:val="24"/>
          <w:szCs w:val="24"/>
          <w:lang w:val="en-US"/>
        </w:rPr>
      </w:pPr>
    </w:p>
    <w:sectPr w:rsidR="00F72DEE" w:rsidRPr="00476BD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F7F7" w14:textId="77777777" w:rsidR="00645049" w:rsidRDefault="00645049" w:rsidP="00A20688">
      <w:pPr>
        <w:spacing w:after="0" w:line="240" w:lineRule="auto"/>
      </w:pPr>
      <w:r>
        <w:separator/>
      </w:r>
    </w:p>
  </w:endnote>
  <w:endnote w:type="continuationSeparator" w:id="0">
    <w:p w14:paraId="63BD536E" w14:textId="77777777" w:rsidR="00645049" w:rsidRDefault="00645049" w:rsidP="00A20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0369E" w14:textId="77777777" w:rsidR="00645049" w:rsidRDefault="00645049" w:rsidP="00A20688">
      <w:pPr>
        <w:spacing w:after="0" w:line="240" w:lineRule="auto"/>
      </w:pPr>
      <w:r>
        <w:separator/>
      </w:r>
    </w:p>
  </w:footnote>
  <w:footnote w:type="continuationSeparator" w:id="0">
    <w:p w14:paraId="3289D4AC" w14:textId="77777777" w:rsidR="00645049" w:rsidRDefault="00645049" w:rsidP="00A206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24D2C"/>
    <w:multiLevelType w:val="hybridMultilevel"/>
    <w:tmpl w:val="FCD4D4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8DE3C18"/>
    <w:multiLevelType w:val="hybridMultilevel"/>
    <w:tmpl w:val="F3E2E950"/>
    <w:lvl w:ilvl="0" w:tplc="4FBC7626">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1EE44DEE"/>
    <w:multiLevelType w:val="hybridMultilevel"/>
    <w:tmpl w:val="0B7626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9FA1DC8"/>
    <w:multiLevelType w:val="hybridMultilevel"/>
    <w:tmpl w:val="2A4039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560439"/>
    <w:multiLevelType w:val="hybridMultilevel"/>
    <w:tmpl w:val="682CEF7E"/>
    <w:lvl w:ilvl="0" w:tplc="BB38ED70">
      <w:start w:val="1"/>
      <w:numFmt w:val="lowerLetter"/>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 w15:restartNumberingAfterBreak="0">
    <w:nsid w:val="359B3199"/>
    <w:multiLevelType w:val="hybridMultilevel"/>
    <w:tmpl w:val="1A88502C"/>
    <w:lvl w:ilvl="0" w:tplc="40090001">
      <w:start w:val="1"/>
      <w:numFmt w:val="bullet"/>
      <w:lvlText w:val=""/>
      <w:lvlJc w:val="left"/>
      <w:pPr>
        <w:ind w:left="1080" w:hanging="360"/>
      </w:pPr>
      <w:rPr>
        <w:rFonts w:ascii="Symbol" w:hAnsi="Symbol" w:hint="default"/>
        <w:b w:val="0"/>
        <w:sz w:val="22"/>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38D50741"/>
    <w:multiLevelType w:val="hybridMultilevel"/>
    <w:tmpl w:val="E914553A"/>
    <w:lvl w:ilvl="0" w:tplc="40090019">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7" w15:restartNumberingAfterBreak="0">
    <w:nsid w:val="48D67DAE"/>
    <w:multiLevelType w:val="hybridMultilevel"/>
    <w:tmpl w:val="F9ACDF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915938812">
    <w:abstractNumId w:val="3"/>
  </w:num>
  <w:num w:numId="2" w16cid:durableId="1418673088">
    <w:abstractNumId w:val="5"/>
  </w:num>
  <w:num w:numId="3" w16cid:durableId="1425492360">
    <w:abstractNumId w:val="1"/>
  </w:num>
  <w:num w:numId="4" w16cid:durableId="1617981313">
    <w:abstractNumId w:val="0"/>
  </w:num>
  <w:num w:numId="5" w16cid:durableId="854926207">
    <w:abstractNumId w:val="7"/>
  </w:num>
  <w:num w:numId="6" w16cid:durableId="1838760654">
    <w:abstractNumId w:val="4"/>
  </w:num>
  <w:num w:numId="7" w16cid:durableId="2069254767">
    <w:abstractNumId w:val="2"/>
  </w:num>
  <w:num w:numId="8" w16cid:durableId="1613584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DD8"/>
    <w:rsid w:val="00082AD0"/>
    <w:rsid w:val="000A1D26"/>
    <w:rsid w:val="000E0C12"/>
    <w:rsid w:val="0011423A"/>
    <w:rsid w:val="00137CCA"/>
    <w:rsid w:val="001569C0"/>
    <w:rsid w:val="00164352"/>
    <w:rsid w:val="00175122"/>
    <w:rsid w:val="001E3D75"/>
    <w:rsid w:val="00240DFB"/>
    <w:rsid w:val="00267E15"/>
    <w:rsid w:val="00297392"/>
    <w:rsid w:val="002F2CBB"/>
    <w:rsid w:val="00343517"/>
    <w:rsid w:val="0038302E"/>
    <w:rsid w:val="003C0B7B"/>
    <w:rsid w:val="003D4BFD"/>
    <w:rsid w:val="00412D3A"/>
    <w:rsid w:val="00476BD3"/>
    <w:rsid w:val="00485D0D"/>
    <w:rsid w:val="0049464B"/>
    <w:rsid w:val="004A0270"/>
    <w:rsid w:val="005137C1"/>
    <w:rsid w:val="005B1C45"/>
    <w:rsid w:val="00627650"/>
    <w:rsid w:val="00645049"/>
    <w:rsid w:val="0066643F"/>
    <w:rsid w:val="00676379"/>
    <w:rsid w:val="006C582C"/>
    <w:rsid w:val="006E53C5"/>
    <w:rsid w:val="00782750"/>
    <w:rsid w:val="007A3C8A"/>
    <w:rsid w:val="007D6406"/>
    <w:rsid w:val="00831F43"/>
    <w:rsid w:val="008B1629"/>
    <w:rsid w:val="008C278E"/>
    <w:rsid w:val="008E3E8A"/>
    <w:rsid w:val="00944586"/>
    <w:rsid w:val="00952F53"/>
    <w:rsid w:val="00981EA7"/>
    <w:rsid w:val="00A130FB"/>
    <w:rsid w:val="00A20688"/>
    <w:rsid w:val="00A92877"/>
    <w:rsid w:val="00B6068C"/>
    <w:rsid w:val="00BE518E"/>
    <w:rsid w:val="00CB62E2"/>
    <w:rsid w:val="00D231D4"/>
    <w:rsid w:val="00DC4695"/>
    <w:rsid w:val="00E03FFB"/>
    <w:rsid w:val="00E12B38"/>
    <w:rsid w:val="00E538D0"/>
    <w:rsid w:val="00E655D1"/>
    <w:rsid w:val="00E94938"/>
    <w:rsid w:val="00EB1BC0"/>
    <w:rsid w:val="00EC5C36"/>
    <w:rsid w:val="00F4412C"/>
    <w:rsid w:val="00F61DD8"/>
    <w:rsid w:val="00F72DEE"/>
    <w:rsid w:val="00FA4F2C"/>
    <w:rsid w:val="00FC4061"/>
    <w:rsid w:val="00FC5F9E"/>
    <w:rsid w:val="00FD381E"/>
    <w:rsid w:val="00FE31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BF95B"/>
  <w15:chartTrackingRefBased/>
  <w15:docId w15:val="{391534A2-97F5-43E9-ACC2-BD62EC832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DD8"/>
    <w:pPr>
      <w:ind w:left="720"/>
      <w:contextualSpacing/>
    </w:pPr>
  </w:style>
  <w:style w:type="paragraph" w:styleId="NormalWeb">
    <w:name w:val="Normal (Web)"/>
    <w:basedOn w:val="Normal"/>
    <w:uiPriority w:val="99"/>
    <w:semiHidden/>
    <w:unhideWhenUsed/>
    <w:rsid w:val="00F61DD8"/>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Revision">
    <w:name w:val="Revision"/>
    <w:hidden/>
    <w:uiPriority w:val="99"/>
    <w:semiHidden/>
    <w:rsid w:val="00412D3A"/>
    <w:pPr>
      <w:spacing w:after="0" w:line="240" w:lineRule="auto"/>
    </w:pPr>
  </w:style>
  <w:style w:type="table" w:styleId="TableGrid">
    <w:name w:val="Table Grid"/>
    <w:basedOn w:val="TableNormal"/>
    <w:uiPriority w:val="39"/>
    <w:rsid w:val="00412D3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49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Srishti Agarwal (LISCO)</dc:creator>
  <cp:keywords/>
  <dc:description/>
  <cp:lastModifiedBy>Pranali Honrao (LISCO)</cp:lastModifiedBy>
  <cp:revision>38</cp:revision>
  <dcterms:created xsi:type="dcterms:W3CDTF">2023-07-06T06:00:00Z</dcterms:created>
  <dcterms:modified xsi:type="dcterms:W3CDTF">2023-12-20T05:20:00Z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2023-06-27T06:57:12Z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0b4d6dee-67c8-4976-9c54-bd47f9034142</vt:lpwstr>
  </property>
  <property fmtid="{D5CDD505-2E9C-101B-9397-08002B2CF9AE}" pid="8" name="MSIP_Label_305f50f5-e953-4c63-867b-388561f41989_ContentBits">
    <vt:lpwstr>0</vt:lpwstr>
  </property>
</Properties>
</file>