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5CF0" w:rsidRPr="001C6F04" w:rsidRDefault="00665CF0" w:rsidP="00DE6CF5">
      <w:pPr>
        <w:pStyle w:val="BodyText"/>
        <w:ind w:left="105"/>
        <w:jc w:val="both"/>
        <w:rPr>
          <w:rFonts w:ascii="IBM Plex Sans" w:hAnsi="IBM Plex Sans"/>
          <w:sz w:val="20"/>
        </w:rPr>
      </w:pPr>
    </w:p>
    <w:p w:rsidR="00665CF0" w:rsidRPr="001C6F04" w:rsidRDefault="00665CF0" w:rsidP="00DE6CF5">
      <w:pPr>
        <w:pStyle w:val="BodyText"/>
        <w:jc w:val="both"/>
        <w:rPr>
          <w:rFonts w:ascii="IBM Plex Sans" w:hAnsi="IBM Plex Sans"/>
          <w:sz w:val="20"/>
        </w:rPr>
      </w:pPr>
    </w:p>
    <w:p w:rsidR="00665CF0" w:rsidRPr="001C6F04" w:rsidRDefault="00665CF0" w:rsidP="00DE6CF5">
      <w:pPr>
        <w:pStyle w:val="BodyText"/>
        <w:jc w:val="both"/>
        <w:rPr>
          <w:rFonts w:ascii="IBM Plex Sans" w:hAnsi="IBM Plex Sans"/>
          <w:sz w:val="20"/>
        </w:rPr>
      </w:pPr>
    </w:p>
    <w:p w:rsidR="00665CF0" w:rsidRPr="001C6F04" w:rsidRDefault="00665CF0" w:rsidP="00DE6CF5">
      <w:pPr>
        <w:pStyle w:val="BodyText"/>
        <w:jc w:val="both"/>
        <w:rPr>
          <w:rFonts w:ascii="IBM Plex Sans" w:hAnsi="IBM Plex Sans"/>
          <w:sz w:val="20"/>
        </w:rPr>
      </w:pPr>
    </w:p>
    <w:p w:rsidR="00665CF0" w:rsidRPr="001C6F04" w:rsidRDefault="00665CF0" w:rsidP="00DE6CF5">
      <w:pPr>
        <w:pStyle w:val="BodyText"/>
        <w:jc w:val="both"/>
        <w:rPr>
          <w:rFonts w:ascii="IBM Plex Sans" w:hAnsi="IBM Plex Sans"/>
          <w:sz w:val="20"/>
        </w:rPr>
      </w:pPr>
    </w:p>
    <w:p w:rsidR="00665CF0" w:rsidRPr="001C6F04" w:rsidRDefault="00665CF0" w:rsidP="00DE6CF5">
      <w:pPr>
        <w:pStyle w:val="BodyText"/>
        <w:jc w:val="both"/>
        <w:rPr>
          <w:rFonts w:ascii="IBM Plex Sans" w:hAnsi="IBM Plex Sans"/>
          <w:sz w:val="20"/>
        </w:rPr>
      </w:pPr>
    </w:p>
    <w:p w:rsidR="00665CF0" w:rsidRPr="001C6F04" w:rsidRDefault="00665CF0" w:rsidP="00DE6CF5">
      <w:pPr>
        <w:pStyle w:val="BodyText"/>
        <w:jc w:val="both"/>
        <w:rPr>
          <w:rFonts w:ascii="IBM Plex Sans" w:hAnsi="IBM Plex Sans"/>
          <w:sz w:val="20"/>
        </w:rPr>
      </w:pPr>
    </w:p>
    <w:p w:rsidR="00665CF0" w:rsidRPr="001C6F04" w:rsidRDefault="00665CF0" w:rsidP="00DE6CF5">
      <w:pPr>
        <w:pStyle w:val="BodyText"/>
        <w:jc w:val="both"/>
        <w:rPr>
          <w:rFonts w:ascii="IBM Plex Sans" w:hAnsi="IBM Plex Sans"/>
          <w:sz w:val="20"/>
        </w:rPr>
      </w:pPr>
    </w:p>
    <w:p w:rsidR="00665CF0" w:rsidRPr="001C6F04" w:rsidRDefault="00665CF0" w:rsidP="00DE6CF5">
      <w:pPr>
        <w:pStyle w:val="BodyText"/>
        <w:spacing w:before="2"/>
        <w:jc w:val="both"/>
        <w:rPr>
          <w:rFonts w:ascii="IBM Plex Sans" w:hAnsi="IBM Plex Sans"/>
          <w:sz w:val="18"/>
        </w:rPr>
      </w:pPr>
    </w:p>
    <w:p w:rsidR="00B02F82" w:rsidRPr="001C6F04" w:rsidRDefault="00B02F82" w:rsidP="00DE6CF5">
      <w:pPr>
        <w:pStyle w:val="BodyText"/>
        <w:spacing w:before="2"/>
        <w:jc w:val="both"/>
        <w:rPr>
          <w:rFonts w:ascii="IBM Plex Sans" w:hAnsi="IBM Plex Sans"/>
          <w:sz w:val="18"/>
        </w:rPr>
      </w:pPr>
    </w:p>
    <w:p w:rsidR="00B02F82" w:rsidRPr="001C6F04" w:rsidRDefault="00B02F82" w:rsidP="00DE6CF5">
      <w:pPr>
        <w:pStyle w:val="BodyText"/>
        <w:spacing w:before="2"/>
        <w:jc w:val="both"/>
        <w:rPr>
          <w:rFonts w:ascii="IBM Plex Sans" w:hAnsi="IBM Plex Sans"/>
          <w:sz w:val="18"/>
        </w:rPr>
      </w:pPr>
    </w:p>
    <w:p w:rsidR="006A5520" w:rsidRPr="001C6F04" w:rsidRDefault="00ED294C" w:rsidP="003C0F80">
      <w:pPr>
        <w:pStyle w:val="Title"/>
        <w:ind w:left="0" w:right="30"/>
        <w:rPr>
          <w:rFonts w:ascii="IBM Plex Sans" w:hAnsi="IBM Plex Sans"/>
        </w:rPr>
      </w:pPr>
      <w:r w:rsidRPr="001C6F04">
        <w:rPr>
          <w:rFonts w:ascii="IBM Plex Sans" w:hAnsi="IBM Plex Sans"/>
        </w:rPr>
        <w:t xml:space="preserve">   </w:t>
      </w:r>
      <w:r w:rsidR="00FB37F0" w:rsidRPr="001C6F04">
        <w:rPr>
          <w:rFonts w:ascii="IBM Plex Sans" w:hAnsi="IBM Plex Sans"/>
        </w:rPr>
        <w:t xml:space="preserve">   </w:t>
      </w:r>
      <w:r w:rsidR="008E3F1D" w:rsidRPr="001C6F04">
        <w:rPr>
          <w:rFonts w:ascii="IBM Plex Sans" w:hAnsi="IBM Plex Sans"/>
        </w:rPr>
        <w:t xml:space="preserve">FAQs for </w:t>
      </w:r>
      <w:proofErr w:type="gramStart"/>
      <w:r w:rsidR="008E3F1D" w:rsidRPr="001C6F04">
        <w:rPr>
          <w:rFonts w:ascii="IBM Plex Sans" w:hAnsi="IBM Plex Sans"/>
        </w:rPr>
        <w:t>Non NEAT</w:t>
      </w:r>
      <w:proofErr w:type="gramEnd"/>
      <w:r w:rsidR="008E3F1D" w:rsidRPr="001C6F04">
        <w:rPr>
          <w:rFonts w:ascii="IBM Plex Sans" w:hAnsi="IBM Plex Sans"/>
        </w:rPr>
        <w:t xml:space="preserve"> Front End</w:t>
      </w:r>
    </w:p>
    <w:p w:rsidR="00665CF0" w:rsidRPr="001C6F04" w:rsidRDefault="00ED294C" w:rsidP="003C0F80">
      <w:pPr>
        <w:pStyle w:val="Title"/>
        <w:ind w:left="0" w:right="30"/>
        <w:rPr>
          <w:rFonts w:ascii="IBM Plex Sans" w:hAnsi="IBM Plex Sans"/>
        </w:rPr>
      </w:pPr>
      <w:r w:rsidRPr="001C6F04">
        <w:rPr>
          <w:rFonts w:ascii="IBM Plex Sans" w:hAnsi="IBM Plex Sans"/>
        </w:rPr>
        <w:t xml:space="preserve">   </w:t>
      </w:r>
      <w:r w:rsidR="008E3F1D" w:rsidRPr="001C6F04">
        <w:rPr>
          <w:rFonts w:ascii="IBM Plex Sans" w:hAnsi="IBM Plex Sans"/>
        </w:rPr>
        <w:t>Registration Process</w:t>
      </w:r>
    </w:p>
    <w:p w:rsidR="00665CF0" w:rsidRPr="001C6F04" w:rsidRDefault="00665CF0" w:rsidP="003C0F80">
      <w:pPr>
        <w:pStyle w:val="BodyText"/>
        <w:jc w:val="center"/>
        <w:rPr>
          <w:rFonts w:ascii="IBM Plex Sans" w:hAnsi="IBM Plex Sans"/>
          <w:b/>
          <w:sz w:val="32"/>
          <w:szCs w:val="32"/>
        </w:rPr>
      </w:pPr>
    </w:p>
    <w:p w:rsidR="00227B94" w:rsidRPr="001C6F04" w:rsidRDefault="00227B94" w:rsidP="00227B94">
      <w:pPr>
        <w:pStyle w:val="BodyText"/>
        <w:jc w:val="center"/>
        <w:rPr>
          <w:rFonts w:ascii="IBM Plex Sans" w:hAnsi="IBM Plex Sans"/>
          <w:b/>
          <w:bCs/>
          <w:sz w:val="32"/>
          <w:szCs w:val="32"/>
        </w:rPr>
      </w:pPr>
      <w:r w:rsidRPr="001C6F04">
        <w:rPr>
          <w:rFonts w:ascii="IBM Plex Sans" w:hAnsi="IBM Plex Sans"/>
          <w:b/>
          <w:bCs/>
          <w:sz w:val="32"/>
          <w:szCs w:val="32"/>
        </w:rPr>
        <w:t xml:space="preserve">Version </w:t>
      </w:r>
      <w:r w:rsidR="00150209">
        <w:rPr>
          <w:rFonts w:ascii="IBM Plex Sans" w:hAnsi="IBM Plex Sans"/>
          <w:b/>
          <w:bCs/>
          <w:sz w:val="32"/>
          <w:szCs w:val="32"/>
        </w:rPr>
        <w:t>5</w:t>
      </w:r>
      <w:r w:rsidRPr="001C6F04">
        <w:rPr>
          <w:rFonts w:ascii="IBM Plex Sans" w:hAnsi="IBM Plex Sans"/>
          <w:b/>
          <w:bCs/>
          <w:sz w:val="32"/>
          <w:szCs w:val="32"/>
        </w:rPr>
        <w:t>.0</w:t>
      </w:r>
    </w:p>
    <w:p w:rsidR="00227B94" w:rsidRPr="001C6F04" w:rsidRDefault="00227B94" w:rsidP="00227B94">
      <w:pPr>
        <w:pStyle w:val="BodyText"/>
        <w:jc w:val="center"/>
        <w:rPr>
          <w:rFonts w:ascii="IBM Plex Sans" w:hAnsi="IBM Plex Sans"/>
          <w:b/>
          <w:bCs/>
          <w:sz w:val="32"/>
          <w:szCs w:val="32"/>
        </w:rPr>
      </w:pPr>
    </w:p>
    <w:p w:rsidR="00227B94" w:rsidRPr="001C6F04" w:rsidRDefault="00150209" w:rsidP="00227B94">
      <w:pPr>
        <w:pStyle w:val="BodyText"/>
        <w:jc w:val="center"/>
        <w:rPr>
          <w:rFonts w:ascii="IBM Plex Sans" w:hAnsi="IBM Plex Sans"/>
          <w:b/>
          <w:bCs/>
          <w:sz w:val="32"/>
          <w:szCs w:val="32"/>
        </w:rPr>
      </w:pPr>
      <w:r>
        <w:rPr>
          <w:rFonts w:ascii="IBM Plex Sans" w:hAnsi="IBM Plex Sans"/>
          <w:b/>
          <w:bCs/>
          <w:sz w:val="32"/>
          <w:szCs w:val="32"/>
        </w:rPr>
        <w:t xml:space="preserve">August </w:t>
      </w:r>
      <w:r w:rsidR="00227B94" w:rsidRPr="001C6F04">
        <w:rPr>
          <w:rFonts w:ascii="IBM Plex Sans" w:hAnsi="IBM Plex Sans"/>
          <w:b/>
          <w:bCs/>
          <w:sz w:val="32"/>
          <w:szCs w:val="32"/>
        </w:rPr>
        <w:t>202</w:t>
      </w:r>
      <w:r>
        <w:rPr>
          <w:rFonts w:ascii="IBM Plex Sans" w:hAnsi="IBM Plex Sans"/>
          <w:b/>
          <w:bCs/>
          <w:sz w:val="32"/>
          <w:szCs w:val="32"/>
        </w:rPr>
        <w:t>4</w:t>
      </w:r>
    </w:p>
    <w:p w:rsidR="00665CF0" w:rsidRPr="001C6F04" w:rsidRDefault="00665CF0" w:rsidP="00DE6CF5">
      <w:pPr>
        <w:pStyle w:val="BodyText"/>
        <w:jc w:val="both"/>
        <w:rPr>
          <w:rFonts w:ascii="IBM Plex Sans" w:hAnsi="IBM Plex Sans"/>
          <w:b/>
          <w:sz w:val="36"/>
        </w:rPr>
      </w:pPr>
    </w:p>
    <w:p w:rsidR="00665CF0" w:rsidRPr="001C6F04" w:rsidRDefault="00665CF0" w:rsidP="00DE6CF5">
      <w:pPr>
        <w:pStyle w:val="BodyText"/>
        <w:jc w:val="both"/>
        <w:rPr>
          <w:rFonts w:ascii="IBM Plex Sans" w:hAnsi="IBM Plex Sans"/>
          <w:b/>
          <w:sz w:val="36"/>
        </w:rPr>
      </w:pPr>
    </w:p>
    <w:p w:rsidR="00665CF0" w:rsidRPr="001C6F04" w:rsidRDefault="00665CF0" w:rsidP="00DE6CF5">
      <w:pPr>
        <w:pStyle w:val="BodyText"/>
        <w:jc w:val="both"/>
        <w:rPr>
          <w:rFonts w:ascii="IBM Plex Sans" w:hAnsi="IBM Plex Sans"/>
          <w:b/>
          <w:sz w:val="36"/>
        </w:rPr>
      </w:pPr>
    </w:p>
    <w:p w:rsidR="00665CF0" w:rsidRPr="001C6F04" w:rsidRDefault="00665CF0" w:rsidP="00DE6CF5">
      <w:pPr>
        <w:pStyle w:val="BodyText"/>
        <w:jc w:val="both"/>
        <w:rPr>
          <w:rFonts w:ascii="IBM Plex Sans" w:hAnsi="IBM Plex Sans"/>
          <w:b/>
          <w:sz w:val="36"/>
        </w:rPr>
      </w:pPr>
    </w:p>
    <w:p w:rsidR="00665CF0" w:rsidRPr="001C6F04" w:rsidRDefault="00665CF0" w:rsidP="00DE6CF5">
      <w:pPr>
        <w:pStyle w:val="BodyText"/>
        <w:jc w:val="both"/>
        <w:rPr>
          <w:rFonts w:ascii="IBM Plex Sans" w:hAnsi="IBM Plex Sans"/>
          <w:b/>
          <w:sz w:val="36"/>
        </w:rPr>
      </w:pPr>
    </w:p>
    <w:p w:rsidR="00665CF0" w:rsidRPr="001C6F04" w:rsidRDefault="00665CF0" w:rsidP="00DE6CF5">
      <w:pPr>
        <w:pStyle w:val="BodyText"/>
        <w:jc w:val="both"/>
        <w:rPr>
          <w:rFonts w:ascii="IBM Plex Sans" w:hAnsi="IBM Plex Sans"/>
          <w:b/>
          <w:sz w:val="36"/>
        </w:rPr>
      </w:pPr>
    </w:p>
    <w:p w:rsidR="00665CF0" w:rsidRPr="001C6F04" w:rsidRDefault="00665CF0" w:rsidP="00DE6CF5">
      <w:pPr>
        <w:pStyle w:val="BodyText"/>
        <w:jc w:val="both"/>
        <w:rPr>
          <w:rFonts w:ascii="IBM Plex Sans" w:hAnsi="IBM Plex Sans"/>
          <w:b/>
          <w:sz w:val="36"/>
        </w:rPr>
      </w:pPr>
    </w:p>
    <w:p w:rsidR="00665CF0" w:rsidRPr="001C6F04" w:rsidRDefault="00665CF0" w:rsidP="00DE6CF5">
      <w:pPr>
        <w:pStyle w:val="BodyText"/>
        <w:jc w:val="both"/>
        <w:rPr>
          <w:rFonts w:ascii="IBM Plex Sans" w:hAnsi="IBM Plex Sans"/>
          <w:b/>
          <w:sz w:val="36"/>
        </w:rPr>
      </w:pPr>
    </w:p>
    <w:p w:rsidR="00665CF0" w:rsidRPr="001C6F04" w:rsidRDefault="00665CF0" w:rsidP="00DE6CF5">
      <w:pPr>
        <w:pStyle w:val="BodyText"/>
        <w:jc w:val="both"/>
        <w:rPr>
          <w:rFonts w:ascii="IBM Plex Sans" w:hAnsi="IBM Plex Sans"/>
          <w:b/>
          <w:sz w:val="36"/>
        </w:rPr>
      </w:pPr>
    </w:p>
    <w:p w:rsidR="00665CF0" w:rsidRPr="001C6F04" w:rsidRDefault="00665CF0" w:rsidP="00DE6CF5">
      <w:pPr>
        <w:pStyle w:val="BodyText"/>
        <w:jc w:val="both"/>
        <w:rPr>
          <w:rFonts w:ascii="IBM Plex Sans" w:hAnsi="IBM Plex Sans"/>
          <w:b/>
          <w:sz w:val="36"/>
        </w:rPr>
      </w:pPr>
    </w:p>
    <w:p w:rsidR="00EA4458" w:rsidRDefault="00EA4458" w:rsidP="00DE6CF5">
      <w:pPr>
        <w:pStyle w:val="BodyText"/>
        <w:jc w:val="both"/>
        <w:rPr>
          <w:rFonts w:ascii="IBM Plex Sans" w:hAnsi="IBM Plex Sans"/>
          <w:b/>
          <w:sz w:val="36"/>
        </w:rPr>
      </w:pPr>
    </w:p>
    <w:p w:rsidR="00EA4458" w:rsidRDefault="00EA4458" w:rsidP="00DE6CF5">
      <w:pPr>
        <w:pStyle w:val="BodyText"/>
        <w:jc w:val="both"/>
        <w:rPr>
          <w:rFonts w:ascii="IBM Plex Sans" w:hAnsi="IBM Plex Sans"/>
          <w:b/>
          <w:sz w:val="36"/>
        </w:rPr>
      </w:pPr>
    </w:p>
    <w:p w:rsidR="00E4444B" w:rsidRPr="001C6F04" w:rsidRDefault="00E4444B" w:rsidP="00DE6CF5">
      <w:pPr>
        <w:pStyle w:val="BodyText"/>
        <w:jc w:val="both"/>
        <w:rPr>
          <w:rFonts w:ascii="IBM Plex Sans" w:hAnsi="IBM Plex Sans"/>
          <w:b/>
          <w:sz w:val="36"/>
        </w:rPr>
      </w:pPr>
    </w:p>
    <w:p w:rsidR="00B02F82" w:rsidRPr="002E2A0B" w:rsidRDefault="00B02F82" w:rsidP="00DE6CF5">
      <w:pPr>
        <w:pStyle w:val="BodyText"/>
        <w:ind w:left="720"/>
        <w:jc w:val="both"/>
        <w:rPr>
          <w:rFonts w:ascii="IBM Plex Sans" w:hAnsi="IBM Plex Sans"/>
          <w:b/>
          <w:sz w:val="20"/>
          <w:szCs w:val="20"/>
        </w:rPr>
      </w:pPr>
      <w:r w:rsidRPr="002E2A0B">
        <w:rPr>
          <w:rFonts w:ascii="IBM Plex Sans" w:hAnsi="IBM Plex Sans"/>
          <w:b/>
          <w:sz w:val="20"/>
          <w:szCs w:val="20"/>
        </w:rPr>
        <w:t>Disclaimer:</w:t>
      </w:r>
    </w:p>
    <w:p w:rsidR="00B02F82" w:rsidRPr="002E2A0B" w:rsidRDefault="00B02F82" w:rsidP="00DE6CF5">
      <w:pPr>
        <w:pStyle w:val="BodyText"/>
        <w:spacing w:before="4"/>
        <w:ind w:left="720"/>
        <w:jc w:val="both"/>
        <w:rPr>
          <w:rFonts w:ascii="IBM Plex Sans" w:hAnsi="IBM Plex Sans"/>
          <w:i/>
          <w:sz w:val="20"/>
          <w:szCs w:val="20"/>
        </w:rPr>
      </w:pPr>
      <w:r w:rsidRPr="002E2A0B">
        <w:rPr>
          <w:rFonts w:ascii="IBM Plex Sans" w:hAnsi="IBM Plex Sans"/>
          <w:bCs/>
          <w:i/>
          <w:iCs/>
          <w:sz w:val="20"/>
          <w:szCs w:val="20"/>
        </w:rPr>
        <w:t xml:space="preserve">“This document/FAQ has been drafted </w:t>
      </w:r>
      <w:proofErr w:type="gramStart"/>
      <w:r w:rsidRPr="002E2A0B">
        <w:rPr>
          <w:rFonts w:ascii="IBM Plex Sans" w:hAnsi="IBM Plex Sans"/>
          <w:bCs/>
          <w:i/>
          <w:iCs/>
          <w:sz w:val="20"/>
          <w:szCs w:val="20"/>
        </w:rPr>
        <w:t>in order to</w:t>
      </w:r>
      <w:proofErr w:type="gramEnd"/>
      <w:r w:rsidRPr="002E2A0B">
        <w:rPr>
          <w:rFonts w:ascii="IBM Plex Sans" w:hAnsi="IBM Plex Sans"/>
          <w:bCs/>
          <w:i/>
          <w:iCs/>
          <w:sz w:val="20"/>
          <w:szCs w:val="20"/>
        </w:rPr>
        <w:t xml:space="preserve"> ease Member’s/reader’s understanding of the subject matter. The information and/ or content (collectively ‘Information’) provided herein is general information only and NSE has issued detailed circulars to that effect from time to time. While reasonable care has been exercised to ensure that the information is adequate and reliable, no representation is made by NSE as to its accuracy or completeness and NSE, its affiliates and subsidiaries accept no liability of whatsoever nature for any direct or consequential loss, including without limitation any loss of profits, arising from reliance on this Information. The readers are expected to undertake their own diligence and are advised not to solely rely on this document. Any such reliance shall be at the reader’s own risk. Nothing stated herein shall bind NSE, in any manner whatsoever.”</w:t>
      </w:r>
    </w:p>
    <w:p w:rsidR="00B336E4" w:rsidRPr="001C6F04" w:rsidRDefault="00B336E4" w:rsidP="00E4444B">
      <w:pPr>
        <w:pStyle w:val="BodyText"/>
        <w:spacing w:before="4"/>
        <w:jc w:val="both"/>
        <w:rPr>
          <w:rFonts w:ascii="IBM Plex Sans" w:hAnsi="IBM Plex Sans"/>
          <w:i/>
          <w:sz w:val="20"/>
          <w:szCs w:val="20"/>
        </w:rPr>
      </w:pPr>
    </w:p>
    <w:p w:rsidR="00DE6CF5" w:rsidRDefault="00DE6CF5" w:rsidP="00DE6CF5">
      <w:pPr>
        <w:pStyle w:val="BodyText"/>
        <w:spacing w:before="2"/>
        <w:ind w:left="1020" w:right="102"/>
        <w:jc w:val="both"/>
        <w:rPr>
          <w:rFonts w:ascii="IBM Plex Sans" w:hAnsi="IBM Plex Sans"/>
          <w:b/>
          <w:bCs/>
        </w:rPr>
      </w:pPr>
      <w:r w:rsidRPr="001C6F04">
        <w:rPr>
          <w:rFonts w:ascii="IBM Plex Sans" w:hAnsi="IBM Plex Sans"/>
          <w:b/>
          <w:bCs/>
        </w:rPr>
        <w:t>Background:</w:t>
      </w:r>
    </w:p>
    <w:p w:rsidR="00992E42" w:rsidRPr="001C6F04" w:rsidRDefault="00992E42" w:rsidP="00DE6CF5">
      <w:pPr>
        <w:pStyle w:val="BodyText"/>
        <w:spacing w:before="2"/>
        <w:ind w:left="1020" w:right="102"/>
        <w:jc w:val="both"/>
        <w:rPr>
          <w:rFonts w:ascii="IBM Plex Sans" w:hAnsi="IBM Plex Sans"/>
          <w:b/>
          <w:bCs/>
        </w:rPr>
      </w:pPr>
    </w:p>
    <w:p w:rsidR="00665CF0" w:rsidRPr="001C6F04" w:rsidRDefault="008E3F1D" w:rsidP="00DE6CF5">
      <w:pPr>
        <w:pStyle w:val="BodyText"/>
        <w:spacing w:before="2"/>
        <w:ind w:left="1020" w:right="102"/>
        <w:jc w:val="both"/>
        <w:rPr>
          <w:rFonts w:ascii="IBM Plex Sans" w:hAnsi="IBM Plex Sans"/>
        </w:rPr>
      </w:pPr>
      <w:r w:rsidRPr="001C6F04">
        <w:rPr>
          <w:rFonts w:ascii="IBM Plex Sans" w:hAnsi="IBM Plex Sans"/>
        </w:rPr>
        <w:t>NSE offers to its trading members, a facility, by which members can use their own trading front- end software to trade on the NSE trading system. This facility is referred to as ‘</w:t>
      </w:r>
      <w:proofErr w:type="gramStart"/>
      <w:r w:rsidRPr="001C6F04">
        <w:rPr>
          <w:rFonts w:ascii="IBM Plex Sans" w:hAnsi="IBM Plex Sans"/>
        </w:rPr>
        <w:t>Non NEAT</w:t>
      </w:r>
      <w:proofErr w:type="gramEnd"/>
      <w:r w:rsidRPr="001C6F04">
        <w:rPr>
          <w:rFonts w:ascii="IBM Plex Sans" w:hAnsi="IBM Plex Sans"/>
        </w:rPr>
        <w:t xml:space="preserve"> Front End’ (NNF facility) and is available to all members of the Exchange.</w:t>
      </w:r>
    </w:p>
    <w:p w:rsidR="00665CF0" w:rsidRPr="001C6F04" w:rsidRDefault="00665CF0" w:rsidP="00DE6CF5">
      <w:pPr>
        <w:pStyle w:val="BodyText"/>
        <w:spacing w:before="3"/>
        <w:jc w:val="both"/>
        <w:rPr>
          <w:rFonts w:ascii="IBM Plex Sans" w:hAnsi="IBM Plex Sans"/>
        </w:rPr>
      </w:pPr>
    </w:p>
    <w:p w:rsidR="00665CF0" w:rsidRPr="001C6F04" w:rsidRDefault="008E3F1D" w:rsidP="00DE6CF5">
      <w:pPr>
        <w:ind w:left="299" w:firstLine="720"/>
        <w:jc w:val="both"/>
        <w:rPr>
          <w:rFonts w:ascii="IBM Plex Sans" w:hAnsi="IBM Plex Sans"/>
          <w:b/>
          <w:bCs/>
        </w:rPr>
      </w:pPr>
      <w:r w:rsidRPr="001C6F04">
        <w:rPr>
          <w:rFonts w:ascii="IBM Plex Sans" w:hAnsi="IBM Plex Sans"/>
          <w:b/>
          <w:bCs/>
        </w:rPr>
        <w:t>FAQs:</w:t>
      </w:r>
    </w:p>
    <w:p w:rsidR="00665CF0" w:rsidRPr="001C6F04" w:rsidRDefault="00665CF0" w:rsidP="00DE6CF5">
      <w:pPr>
        <w:pStyle w:val="BodyText"/>
        <w:spacing w:before="8"/>
        <w:jc w:val="both"/>
        <w:rPr>
          <w:rFonts w:ascii="IBM Plex Sans" w:hAnsi="IBM Plex Sans"/>
          <w:b/>
        </w:rPr>
      </w:pPr>
    </w:p>
    <w:p w:rsidR="003F6973" w:rsidRPr="001C6F04" w:rsidRDefault="003F6973" w:rsidP="00DE6CF5">
      <w:pPr>
        <w:pStyle w:val="BodyText"/>
        <w:numPr>
          <w:ilvl w:val="0"/>
          <w:numId w:val="3"/>
        </w:numPr>
        <w:spacing w:before="11"/>
        <w:ind w:left="1260" w:hanging="270"/>
        <w:jc w:val="both"/>
        <w:rPr>
          <w:rFonts w:ascii="IBM Plex Sans" w:hAnsi="IBM Plex Sans"/>
          <w:b/>
          <w:bCs/>
        </w:rPr>
      </w:pPr>
      <w:r w:rsidRPr="001C6F04">
        <w:rPr>
          <w:rFonts w:ascii="IBM Plex Sans" w:hAnsi="IBM Plex Sans"/>
          <w:b/>
          <w:bCs/>
        </w:rPr>
        <w:t>What type of software shall be considered as NNF?</w:t>
      </w:r>
    </w:p>
    <w:p w:rsidR="003F6973" w:rsidRPr="001C6F04" w:rsidRDefault="003F6973" w:rsidP="00DE6CF5">
      <w:pPr>
        <w:pStyle w:val="BodyText"/>
        <w:spacing w:before="11"/>
        <w:ind w:left="1260"/>
        <w:jc w:val="both"/>
        <w:rPr>
          <w:rFonts w:ascii="IBM Plex Sans" w:hAnsi="IBM Plex Sans"/>
        </w:rPr>
      </w:pPr>
      <w:r w:rsidRPr="001C6F04">
        <w:rPr>
          <w:rFonts w:ascii="IBM Plex Sans" w:hAnsi="IBM Plex Sans"/>
        </w:rPr>
        <w:t xml:space="preserve">‘Software’ shall mean electronic systems or applications used by trading members for connecting to the Exchange and for the purposes of trading and real-time risk management, including software used for </w:t>
      </w:r>
      <w:proofErr w:type="gramStart"/>
      <w:r w:rsidRPr="001C6F04">
        <w:rPr>
          <w:rFonts w:ascii="IBM Plex Sans" w:hAnsi="IBM Plex Sans"/>
        </w:rPr>
        <w:t>Computer to Computer</w:t>
      </w:r>
      <w:proofErr w:type="gramEnd"/>
      <w:r w:rsidRPr="001C6F04">
        <w:rPr>
          <w:rFonts w:ascii="IBM Plex Sans" w:hAnsi="IBM Plex Sans"/>
        </w:rPr>
        <w:t xml:space="preserve"> Link (CTCL), Internet Based Trading (IBT), Securities Trading through Wireless Technologies (STWT), Direct Market Access (DMA), Smart Order Routing (SOR)</w:t>
      </w:r>
      <w:r w:rsidR="00044EEE">
        <w:rPr>
          <w:rFonts w:ascii="IBM Plex Sans" w:hAnsi="IBM Plex Sans"/>
        </w:rPr>
        <w:t>,</w:t>
      </w:r>
      <w:r w:rsidRPr="001C6F04">
        <w:rPr>
          <w:rFonts w:ascii="IBM Plex Sans" w:hAnsi="IBM Plex Sans"/>
        </w:rPr>
        <w:t xml:space="preserve"> Algorithmic Trading (AT)</w:t>
      </w:r>
      <w:r w:rsidR="00044EEE">
        <w:rPr>
          <w:rFonts w:ascii="IBM Plex Sans" w:hAnsi="IBM Plex Sans"/>
        </w:rPr>
        <w:t>, etc</w:t>
      </w:r>
      <w:r w:rsidRPr="001C6F04">
        <w:rPr>
          <w:rFonts w:ascii="IBM Plex Sans" w:hAnsi="IBM Plex Sans"/>
        </w:rPr>
        <w:t>.</w:t>
      </w:r>
    </w:p>
    <w:p w:rsidR="00665CF0" w:rsidRPr="001C6F04" w:rsidRDefault="00665CF0" w:rsidP="00DE6CF5">
      <w:pPr>
        <w:pStyle w:val="BodyText"/>
        <w:spacing w:before="11"/>
        <w:jc w:val="both"/>
        <w:rPr>
          <w:rFonts w:ascii="IBM Plex Sans" w:hAnsi="IBM Plex Sans"/>
        </w:rPr>
      </w:pPr>
    </w:p>
    <w:p w:rsidR="00665CF0" w:rsidRPr="001C6F04" w:rsidRDefault="008E3F1D" w:rsidP="00DE6CF5">
      <w:pPr>
        <w:pStyle w:val="BodyText"/>
        <w:numPr>
          <w:ilvl w:val="0"/>
          <w:numId w:val="3"/>
        </w:numPr>
        <w:spacing w:before="11"/>
        <w:ind w:left="1260" w:hanging="270"/>
        <w:jc w:val="both"/>
        <w:rPr>
          <w:rFonts w:ascii="IBM Plex Sans" w:hAnsi="IBM Plex Sans"/>
          <w:b/>
          <w:bCs/>
        </w:rPr>
      </w:pPr>
      <w:r w:rsidRPr="001C6F04">
        <w:rPr>
          <w:rFonts w:ascii="IBM Plex Sans" w:hAnsi="IBM Plex Sans"/>
          <w:b/>
          <w:bCs/>
        </w:rPr>
        <w:t xml:space="preserve">What do you mean by </w:t>
      </w:r>
      <w:proofErr w:type="gramStart"/>
      <w:r w:rsidRPr="001C6F04">
        <w:rPr>
          <w:rFonts w:ascii="IBM Plex Sans" w:hAnsi="IBM Plex Sans"/>
          <w:b/>
          <w:bCs/>
        </w:rPr>
        <w:t>Computer to Computer</w:t>
      </w:r>
      <w:proofErr w:type="gramEnd"/>
      <w:r w:rsidRPr="001C6F04">
        <w:rPr>
          <w:rFonts w:ascii="IBM Plex Sans" w:hAnsi="IBM Plex Sans"/>
          <w:b/>
          <w:bCs/>
        </w:rPr>
        <w:t xml:space="preserve"> Link</w:t>
      </w:r>
      <w:r w:rsidRPr="001C6F04">
        <w:rPr>
          <w:rFonts w:ascii="IBM Plex Sans" w:hAnsi="IBM Plex Sans"/>
          <w:b/>
          <w:bCs/>
          <w:spacing w:val="-7"/>
        </w:rPr>
        <w:t xml:space="preserve"> </w:t>
      </w:r>
      <w:r w:rsidRPr="001C6F04">
        <w:rPr>
          <w:rFonts w:ascii="IBM Plex Sans" w:hAnsi="IBM Plex Sans"/>
          <w:b/>
          <w:bCs/>
        </w:rPr>
        <w:t>(CTCL)?</w:t>
      </w:r>
    </w:p>
    <w:p w:rsidR="00665CF0" w:rsidRPr="001C6F04" w:rsidRDefault="008E3F1D" w:rsidP="00DE6CF5">
      <w:pPr>
        <w:pStyle w:val="BodyText"/>
        <w:spacing w:before="11"/>
        <w:ind w:left="1260"/>
        <w:jc w:val="both"/>
        <w:rPr>
          <w:rFonts w:ascii="IBM Plex Sans" w:hAnsi="IBM Plex Sans"/>
        </w:rPr>
      </w:pPr>
      <w:r w:rsidRPr="001C6F04">
        <w:rPr>
          <w:rFonts w:ascii="IBM Plex Sans" w:hAnsi="IBM Plex Sans"/>
        </w:rPr>
        <w:t>Members have the option to use their own software running on any suitable hardware/software platform of their choice. This software, which is a replacement of the NEAT front-end software, is used by members to trade on the NSE trading system. The dealers of the member may trade using the software, through the member’s own private network, subject to approvals from Department of Telecommunication etc. as may be required in this regard.</w:t>
      </w:r>
    </w:p>
    <w:p w:rsidR="00665CF0" w:rsidRPr="001C6F04" w:rsidRDefault="00665CF0" w:rsidP="00DE6CF5">
      <w:pPr>
        <w:pStyle w:val="BodyText"/>
        <w:spacing w:before="3"/>
        <w:jc w:val="both"/>
        <w:rPr>
          <w:rFonts w:ascii="IBM Plex Sans" w:hAnsi="IBM Plex Sans"/>
        </w:rPr>
      </w:pPr>
    </w:p>
    <w:p w:rsidR="00665CF0" w:rsidRPr="001C6F04" w:rsidRDefault="008E3F1D" w:rsidP="00DE6CF5">
      <w:pPr>
        <w:pStyle w:val="BodyText"/>
        <w:numPr>
          <w:ilvl w:val="0"/>
          <w:numId w:val="3"/>
        </w:numPr>
        <w:spacing w:before="11"/>
        <w:ind w:left="1260" w:hanging="270"/>
        <w:jc w:val="both"/>
        <w:rPr>
          <w:rFonts w:ascii="IBM Plex Sans" w:hAnsi="IBM Plex Sans"/>
          <w:b/>
          <w:bCs/>
        </w:rPr>
      </w:pPr>
      <w:r w:rsidRPr="001C6F04">
        <w:rPr>
          <w:rFonts w:ascii="IBM Plex Sans" w:hAnsi="IBM Plex Sans"/>
          <w:b/>
          <w:bCs/>
        </w:rPr>
        <w:t>What do you mean by Internet Based Trading (IBT) and Securities Trading</w:t>
      </w:r>
      <w:r w:rsidRPr="001C6F04">
        <w:rPr>
          <w:rFonts w:ascii="IBM Plex Sans" w:hAnsi="IBM Plex Sans"/>
          <w:b/>
          <w:bCs/>
          <w:spacing w:val="-37"/>
        </w:rPr>
        <w:t xml:space="preserve"> </w:t>
      </w:r>
      <w:r w:rsidRPr="001C6F04">
        <w:rPr>
          <w:rFonts w:ascii="IBM Plex Sans" w:hAnsi="IBM Plex Sans"/>
          <w:b/>
          <w:bCs/>
        </w:rPr>
        <w:t>through Wireless Technologies</w:t>
      </w:r>
      <w:r w:rsidRPr="001C6F04">
        <w:rPr>
          <w:rFonts w:ascii="IBM Plex Sans" w:hAnsi="IBM Plex Sans"/>
          <w:b/>
          <w:bCs/>
          <w:spacing w:val="-5"/>
        </w:rPr>
        <w:t xml:space="preserve"> </w:t>
      </w:r>
      <w:r w:rsidRPr="001C6F04">
        <w:rPr>
          <w:rFonts w:ascii="IBM Plex Sans" w:hAnsi="IBM Plex Sans"/>
          <w:b/>
          <w:bCs/>
        </w:rPr>
        <w:t>(STWT)?</w:t>
      </w:r>
    </w:p>
    <w:p w:rsidR="00665CF0" w:rsidRPr="001C6F04" w:rsidRDefault="008E3F1D" w:rsidP="00DE6CF5">
      <w:pPr>
        <w:pStyle w:val="BodyText"/>
        <w:spacing w:before="11"/>
        <w:ind w:left="1260"/>
        <w:jc w:val="both"/>
        <w:rPr>
          <w:rFonts w:ascii="IBM Plex Sans" w:hAnsi="IBM Plex Sans"/>
        </w:rPr>
      </w:pPr>
      <w:r w:rsidRPr="001C6F04">
        <w:rPr>
          <w:rFonts w:ascii="IBM Plex Sans" w:hAnsi="IBM Plex Sans"/>
        </w:rPr>
        <w:t xml:space="preserve">Internet based trading takes place through order routing systems, which will route client orders, to exchange trading systems, for execution of trades on the existing stock </w:t>
      </w:r>
      <w:r w:rsidR="000B3058">
        <w:rPr>
          <w:rFonts w:ascii="IBM Plex Sans" w:hAnsi="IBM Plex Sans"/>
        </w:rPr>
        <w:t>E</w:t>
      </w:r>
      <w:r w:rsidRPr="001C6F04">
        <w:rPr>
          <w:rFonts w:ascii="IBM Plex Sans" w:hAnsi="IBM Plex Sans"/>
        </w:rPr>
        <w:t>xchanges.</w:t>
      </w:r>
    </w:p>
    <w:p w:rsidR="00665CF0" w:rsidRPr="001C6F04" w:rsidRDefault="008E3F1D" w:rsidP="00DE6CF5">
      <w:pPr>
        <w:pStyle w:val="BodyText"/>
        <w:spacing w:before="11"/>
        <w:ind w:left="1260"/>
        <w:jc w:val="both"/>
        <w:rPr>
          <w:rFonts w:ascii="IBM Plex Sans" w:hAnsi="IBM Plex Sans"/>
        </w:rPr>
      </w:pPr>
      <w:r w:rsidRPr="001C6F04">
        <w:rPr>
          <w:rFonts w:ascii="IBM Plex Sans" w:hAnsi="IBM Plex Sans"/>
        </w:rPr>
        <w:t xml:space="preserve">Securities Trading using Wireless technology includes devices such as mobile phone, laptop with data card, </w:t>
      </w:r>
      <w:proofErr w:type="spellStart"/>
      <w:r w:rsidRPr="001C6F04">
        <w:rPr>
          <w:rFonts w:ascii="IBM Plex Sans" w:hAnsi="IBM Plex Sans"/>
        </w:rPr>
        <w:t>etc</w:t>
      </w:r>
      <w:proofErr w:type="spellEnd"/>
      <w:r w:rsidRPr="001C6F04">
        <w:rPr>
          <w:rFonts w:ascii="IBM Plex Sans" w:hAnsi="IBM Plex Sans"/>
        </w:rPr>
        <w:t>, that use Internet Protocol (IP).</w:t>
      </w:r>
    </w:p>
    <w:p w:rsidR="00665CF0" w:rsidRPr="001C6F04" w:rsidRDefault="00665CF0" w:rsidP="00DE6CF5">
      <w:pPr>
        <w:pStyle w:val="BodyText"/>
        <w:spacing w:before="11"/>
        <w:jc w:val="both"/>
        <w:rPr>
          <w:rFonts w:ascii="IBM Plex Sans" w:hAnsi="IBM Plex Sans"/>
        </w:rPr>
      </w:pPr>
    </w:p>
    <w:p w:rsidR="00665CF0" w:rsidRPr="001C6F04" w:rsidRDefault="008E3F1D" w:rsidP="00DE6CF5">
      <w:pPr>
        <w:pStyle w:val="BodyText"/>
        <w:numPr>
          <w:ilvl w:val="0"/>
          <w:numId w:val="3"/>
        </w:numPr>
        <w:spacing w:before="11"/>
        <w:ind w:left="1260" w:hanging="270"/>
        <w:jc w:val="both"/>
        <w:rPr>
          <w:rFonts w:ascii="IBM Plex Sans" w:hAnsi="IBM Plex Sans"/>
          <w:b/>
          <w:bCs/>
        </w:rPr>
      </w:pPr>
      <w:r w:rsidRPr="001C6F04">
        <w:rPr>
          <w:rFonts w:ascii="IBM Plex Sans" w:hAnsi="IBM Plex Sans"/>
          <w:b/>
          <w:bCs/>
        </w:rPr>
        <w:t>Can I seek STWT registration prior to IBT registration?</w:t>
      </w:r>
    </w:p>
    <w:p w:rsidR="00665CF0" w:rsidRPr="001C6F04" w:rsidRDefault="008E3F1D" w:rsidP="00DE6CF5">
      <w:pPr>
        <w:pStyle w:val="BodyText"/>
        <w:spacing w:before="11"/>
        <w:ind w:left="1260"/>
        <w:jc w:val="both"/>
        <w:rPr>
          <w:rFonts w:ascii="IBM Plex Sans" w:hAnsi="IBM Plex Sans"/>
        </w:rPr>
      </w:pPr>
      <w:r w:rsidRPr="001C6F04">
        <w:rPr>
          <w:rFonts w:ascii="IBM Plex Sans" w:hAnsi="IBM Plex Sans"/>
        </w:rPr>
        <w:t>No. Only SEBI registered brokers who provide IBT are eligible to provide STWT. All relevant requirements applicable to IBT are also applicable to STWT.</w:t>
      </w:r>
    </w:p>
    <w:p w:rsidR="00665CF0" w:rsidRPr="001C6F04" w:rsidRDefault="00665CF0" w:rsidP="00DE6CF5">
      <w:pPr>
        <w:pStyle w:val="BodyText"/>
        <w:spacing w:before="2"/>
        <w:jc w:val="both"/>
        <w:rPr>
          <w:rFonts w:ascii="IBM Plex Sans" w:hAnsi="IBM Plex Sans"/>
        </w:rPr>
      </w:pPr>
    </w:p>
    <w:p w:rsidR="00665CF0" w:rsidRPr="001C6F04" w:rsidRDefault="008E3F1D" w:rsidP="00DE6CF5">
      <w:pPr>
        <w:pStyle w:val="BodyText"/>
        <w:numPr>
          <w:ilvl w:val="0"/>
          <w:numId w:val="3"/>
        </w:numPr>
        <w:spacing w:before="11"/>
        <w:ind w:left="1260" w:hanging="270"/>
        <w:jc w:val="both"/>
        <w:rPr>
          <w:rFonts w:ascii="IBM Plex Sans" w:hAnsi="IBM Plex Sans"/>
          <w:b/>
          <w:bCs/>
        </w:rPr>
      </w:pPr>
      <w:r w:rsidRPr="001C6F04">
        <w:rPr>
          <w:rFonts w:ascii="IBM Plex Sans" w:hAnsi="IBM Plex Sans"/>
          <w:b/>
          <w:bCs/>
        </w:rPr>
        <w:t>What is meant by Direct Market Access</w:t>
      </w:r>
      <w:r w:rsidRPr="001C6F04">
        <w:rPr>
          <w:rFonts w:ascii="IBM Plex Sans" w:hAnsi="IBM Plex Sans"/>
          <w:b/>
          <w:bCs/>
          <w:spacing w:val="-12"/>
        </w:rPr>
        <w:t xml:space="preserve"> </w:t>
      </w:r>
      <w:r w:rsidRPr="001C6F04">
        <w:rPr>
          <w:rFonts w:ascii="IBM Plex Sans" w:hAnsi="IBM Plex Sans"/>
          <w:b/>
          <w:bCs/>
          <w:spacing w:val="-3"/>
        </w:rPr>
        <w:t>(DMA)?</w:t>
      </w:r>
    </w:p>
    <w:p w:rsidR="00665CF0" w:rsidRPr="001C6F04" w:rsidRDefault="008E3F1D" w:rsidP="00DE6CF5">
      <w:pPr>
        <w:pStyle w:val="BodyText"/>
        <w:spacing w:before="11"/>
        <w:ind w:left="1260"/>
        <w:jc w:val="both"/>
        <w:rPr>
          <w:rFonts w:ascii="IBM Plex Sans" w:hAnsi="IBM Plex Sans"/>
        </w:rPr>
      </w:pPr>
      <w:r w:rsidRPr="001C6F04">
        <w:rPr>
          <w:rFonts w:ascii="IBM Plex Sans" w:hAnsi="IBM Plex Sans"/>
        </w:rPr>
        <w:t xml:space="preserve">Direct Market Access (DMA) is a facility which allows brokers to offer clients direct access to the </w:t>
      </w:r>
      <w:r w:rsidR="000B3058">
        <w:rPr>
          <w:rFonts w:ascii="IBM Plex Sans" w:hAnsi="IBM Plex Sans"/>
        </w:rPr>
        <w:t>E</w:t>
      </w:r>
      <w:r w:rsidRPr="001C6F04">
        <w:rPr>
          <w:rFonts w:ascii="IBM Plex Sans" w:hAnsi="IBM Plex Sans"/>
        </w:rPr>
        <w:t>xchange trading system through the broker’s infrastructure without manual intervention by the broker.</w:t>
      </w:r>
    </w:p>
    <w:p w:rsidR="00665CF0" w:rsidRPr="001C6F04" w:rsidRDefault="00665CF0" w:rsidP="00DE6CF5">
      <w:pPr>
        <w:pStyle w:val="BodyText"/>
        <w:spacing w:before="1"/>
        <w:jc w:val="both"/>
        <w:rPr>
          <w:rFonts w:ascii="IBM Plex Sans" w:hAnsi="IBM Plex Sans"/>
        </w:rPr>
      </w:pPr>
    </w:p>
    <w:p w:rsidR="00665CF0" w:rsidRPr="001C6F04" w:rsidRDefault="008E3F1D" w:rsidP="00DE6CF5">
      <w:pPr>
        <w:pStyle w:val="BodyText"/>
        <w:numPr>
          <w:ilvl w:val="0"/>
          <w:numId w:val="3"/>
        </w:numPr>
        <w:spacing w:before="11"/>
        <w:ind w:left="1260" w:hanging="270"/>
        <w:jc w:val="both"/>
        <w:rPr>
          <w:rFonts w:ascii="IBM Plex Sans" w:hAnsi="IBM Plex Sans"/>
          <w:b/>
          <w:bCs/>
        </w:rPr>
      </w:pPr>
      <w:r w:rsidRPr="001C6F04">
        <w:rPr>
          <w:rFonts w:ascii="IBM Plex Sans" w:hAnsi="IBM Plex Sans"/>
          <w:b/>
          <w:bCs/>
        </w:rPr>
        <w:t>What is meant by Smart Order Routing (SOR)?</w:t>
      </w:r>
    </w:p>
    <w:p w:rsidR="00665CF0" w:rsidRPr="001C6F04" w:rsidRDefault="002F18D3" w:rsidP="002F18D3">
      <w:pPr>
        <w:pStyle w:val="BodyText"/>
        <w:spacing w:before="11"/>
        <w:ind w:left="1260"/>
        <w:jc w:val="both"/>
        <w:rPr>
          <w:rFonts w:ascii="IBM Plex Sans" w:hAnsi="IBM Plex Sans"/>
        </w:rPr>
      </w:pPr>
      <w:r w:rsidRPr="001C6F04">
        <w:rPr>
          <w:rFonts w:ascii="IBM Plex Sans" w:hAnsi="IBM Plex Sans"/>
        </w:rPr>
        <w:t>Smart Order Routing allows the brokers trading engines to systematically choose the execution destination based on factors viz. price, costs, speed, likelihood of execution and settlement, size, nature or any other consideration relevant to the execution of the order.</w:t>
      </w:r>
    </w:p>
    <w:p w:rsidR="002F18D3" w:rsidRPr="001C6F04" w:rsidRDefault="002F18D3" w:rsidP="002F18D3">
      <w:pPr>
        <w:pStyle w:val="BodyText"/>
        <w:spacing w:before="11"/>
        <w:ind w:left="1260"/>
        <w:jc w:val="both"/>
        <w:rPr>
          <w:rFonts w:ascii="IBM Plex Sans" w:hAnsi="IBM Plex Sans"/>
        </w:rPr>
      </w:pPr>
    </w:p>
    <w:p w:rsidR="00665CF0" w:rsidRPr="001C6F04" w:rsidRDefault="008E3F1D" w:rsidP="00DE6CF5">
      <w:pPr>
        <w:pStyle w:val="BodyText"/>
        <w:numPr>
          <w:ilvl w:val="0"/>
          <w:numId w:val="3"/>
        </w:numPr>
        <w:spacing w:before="11"/>
        <w:ind w:left="1260" w:hanging="270"/>
        <w:jc w:val="both"/>
        <w:rPr>
          <w:rFonts w:ascii="IBM Plex Sans" w:hAnsi="IBM Plex Sans"/>
          <w:b/>
          <w:bCs/>
        </w:rPr>
      </w:pPr>
      <w:r w:rsidRPr="001C6F04">
        <w:rPr>
          <w:rFonts w:ascii="IBM Plex Sans" w:hAnsi="IBM Plex Sans"/>
          <w:b/>
          <w:bCs/>
        </w:rPr>
        <w:t>What is Algorithmic Trading</w:t>
      </w:r>
      <w:r w:rsidRPr="001C6F04">
        <w:rPr>
          <w:rFonts w:ascii="IBM Plex Sans" w:hAnsi="IBM Plex Sans"/>
          <w:b/>
          <w:bCs/>
          <w:spacing w:val="1"/>
        </w:rPr>
        <w:t xml:space="preserve"> </w:t>
      </w:r>
      <w:r w:rsidRPr="001C6F04">
        <w:rPr>
          <w:rFonts w:ascii="IBM Plex Sans" w:hAnsi="IBM Plex Sans"/>
          <w:b/>
          <w:bCs/>
        </w:rPr>
        <w:t>(AT)?</w:t>
      </w:r>
    </w:p>
    <w:p w:rsidR="00665CF0" w:rsidRDefault="00044EEE" w:rsidP="00DE6CF5">
      <w:pPr>
        <w:pStyle w:val="BodyText"/>
        <w:spacing w:before="11"/>
        <w:ind w:left="1260"/>
        <w:jc w:val="both"/>
        <w:rPr>
          <w:rFonts w:ascii="IBM Plex Sans" w:hAnsi="IBM Plex Sans"/>
        </w:rPr>
      </w:pPr>
      <w:r w:rsidRPr="00044EEE">
        <w:rPr>
          <w:rFonts w:ascii="IBM Plex Sans" w:hAnsi="IBM Plex Sans"/>
        </w:rPr>
        <w:t xml:space="preserve">As defined by SEBI </w:t>
      </w:r>
      <w:r>
        <w:rPr>
          <w:rFonts w:ascii="IBM Plex Sans" w:hAnsi="IBM Plex Sans"/>
        </w:rPr>
        <w:t>a</w:t>
      </w:r>
      <w:r w:rsidR="008E3F1D" w:rsidRPr="001C6F04">
        <w:rPr>
          <w:rFonts w:ascii="IBM Plex Sans" w:hAnsi="IBM Plex Sans"/>
        </w:rPr>
        <w:t>ny order that is generated using automated execution logic is known as algorithmic trading.</w:t>
      </w:r>
    </w:p>
    <w:p w:rsidR="00EA4458" w:rsidRDefault="00EA4458" w:rsidP="00DE6CF5">
      <w:pPr>
        <w:pStyle w:val="BodyText"/>
        <w:spacing w:before="11"/>
        <w:ind w:left="1260"/>
        <w:jc w:val="both"/>
        <w:rPr>
          <w:rFonts w:ascii="IBM Plex Sans" w:hAnsi="IBM Plex Sans"/>
        </w:rPr>
      </w:pPr>
    </w:p>
    <w:p w:rsidR="00EA4458" w:rsidRDefault="00EA4458" w:rsidP="00DE6CF5">
      <w:pPr>
        <w:pStyle w:val="BodyText"/>
        <w:spacing w:before="11"/>
        <w:ind w:left="1260"/>
        <w:jc w:val="both"/>
        <w:rPr>
          <w:rFonts w:ascii="IBM Plex Sans" w:hAnsi="IBM Plex Sans"/>
        </w:rPr>
      </w:pPr>
    </w:p>
    <w:p w:rsidR="00EA4458" w:rsidRPr="001C6F04" w:rsidRDefault="00EA4458" w:rsidP="00DE6CF5">
      <w:pPr>
        <w:pStyle w:val="BodyText"/>
        <w:spacing w:before="11"/>
        <w:ind w:left="1260"/>
        <w:jc w:val="both"/>
        <w:rPr>
          <w:rFonts w:ascii="IBM Plex Sans" w:hAnsi="IBM Plex Sans"/>
        </w:rPr>
      </w:pPr>
    </w:p>
    <w:p w:rsidR="00665CF0" w:rsidRPr="004E0869" w:rsidRDefault="008E3F1D" w:rsidP="00DE6CF5">
      <w:pPr>
        <w:pStyle w:val="BodyText"/>
        <w:numPr>
          <w:ilvl w:val="0"/>
          <w:numId w:val="3"/>
        </w:numPr>
        <w:spacing w:before="11"/>
        <w:ind w:left="1350"/>
        <w:jc w:val="both"/>
        <w:rPr>
          <w:rFonts w:ascii="IBM Plex Sans" w:hAnsi="IBM Plex Sans"/>
          <w:b/>
          <w:bCs/>
        </w:rPr>
      </w:pPr>
      <w:r w:rsidRPr="004E0869">
        <w:rPr>
          <w:rFonts w:ascii="IBM Plex Sans" w:hAnsi="IBM Plex Sans"/>
          <w:b/>
          <w:bCs/>
        </w:rPr>
        <w:t xml:space="preserve">From where can I procure </w:t>
      </w:r>
      <w:proofErr w:type="gramStart"/>
      <w:r w:rsidRPr="004E0869">
        <w:rPr>
          <w:rFonts w:ascii="IBM Plex Sans" w:hAnsi="IBM Plex Sans"/>
          <w:b/>
          <w:bCs/>
        </w:rPr>
        <w:t xml:space="preserve">Non </w:t>
      </w:r>
      <w:r w:rsidRPr="004E0869">
        <w:rPr>
          <w:rFonts w:ascii="IBM Plex Sans" w:hAnsi="IBM Plex Sans"/>
          <w:b/>
          <w:bCs/>
          <w:spacing w:val="-3"/>
        </w:rPr>
        <w:t>NEAT</w:t>
      </w:r>
      <w:proofErr w:type="gramEnd"/>
      <w:r w:rsidRPr="004E0869">
        <w:rPr>
          <w:rFonts w:ascii="IBM Plex Sans" w:hAnsi="IBM Plex Sans"/>
          <w:b/>
          <w:bCs/>
          <w:spacing w:val="-3"/>
        </w:rPr>
        <w:t xml:space="preserve"> </w:t>
      </w:r>
      <w:r w:rsidRPr="004E0869">
        <w:rPr>
          <w:rFonts w:ascii="IBM Plex Sans" w:hAnsi="IBM Plex Sans"/>
          <w:b/>
          <w:bCs/>
        </w:rPr>
        <w:t>Front End</w:t>
      </w:r>
      <w:r w:rsidRPr="004E0869">
        <w:rPr>
          <w:rFonts w:ascii="IBM Plex Sans" w:hAnsi="IBM Plex Sans"/>
          <w:b/>
          <w:bCs/>
          <w:spacing w:val="-1"/>
        </w:rPr>
        <w:t xml:space="preserve"> </w:t>
      </w:r>
      <w:r w:rsidRPr="004E0869">
        <w:rPr>
          <w:rFonts w:ascii="IBM Plex Sans" w:hAnsi="IBM Plex Sans"/>
          <w:b/>
          <w:bCs/>
        </w:rPr>
        <w:t>software?</w:t>
      </w:r>
    </w:p>
    <w:p w:rsidR="00665CF0" w:rsidRPr="004E0869" w:rsidRDefault="008E3F1D" w:rsidP="00DE6CF5">
      <w:pPr>
        <w:pStyle w:val="BodyText"/>
        <w:spacing w:before="11"/>
        <w:ind w:left="1350"/>
        <w:jc w:val="both"/>
        <w:rPr>
          <w:rFonts w:ascii="IBM Plex Sans" w:hAnsi="IBM Plex Sans"/>
        </w:rPr>
      </w:pPr>
      <w:r w:rsidRPr="004E0869">
        <w:rPr>
          <w:rFonts w:ascii="IBM Plex Sans" w:hAnsi="IBM Plex Sans"/>
        </w:rPr>
        <w:t>Presently, there are 3 options available to members:</w:t>
      </w:r>
    </w:p>
    <w:p w:rsidR="00665CF0" w:rsidRPr="004E0869" w:rsidRDefault="008E3F1D" w:rsidP="00DE6CF5">
      <w:pPr>
        <w:pStyle w:val="ListParagraph"/>
        <w:numPr>
          <w:ilvl w:val="1"/>
          <w:numId w:val="2"/>
        </w:numPr>
        <w:tabs>
          <w:tab w:val="left" w:pos="1620"/>
        </w:tabs>
        <w:spacing w:before="2"/>
        <w:rPr>
          <w:rFonts w:ascii="IBM Plex Sans" w:hAnsi="IBM Plex Sans"/>
        </w:rPr>
      </w:pPr>
      <w:r w:rsidRPr="004E0869">
        <w:rPr>
          <w:rFonts w:ascii="IBM Plex Sans" w:hAnsi="IBM Plex Sans"/>
        </w:rPr>
        <w:t>NNF software may be developed by member in-house teams/</w:t>
      </w:r>
      <w:r w:rsidR="00044EEE">
        <w:rPr>
          <w:rFonts w:ascii="IBM Plex Sans" w:hAnsi="IBM Plex Sans"/>
        </w:rPr>
        <w:t xml:space="preserve"> procured from </w:t>
      </w:r>
      <w:r w:rsidRPr="004E0869">
        <w:rPr>
          <w:rFonts w:ascii="IBM Plex Sans" w:hAnsi="IBM Plex Sans"/>
        </w:rPr>
        <w:t>non-empanelled</w:t>
      </w:r>
      <w:r w:rsidRPr="004E0869">
        <w:rPr>
          <w:rFonts w:ascii="IBM Plex Sans" w:hAnsi="IBM Plex Sans"/>
          <w:spacing w:val="-23"/>
        </w:rPr>
        <w:t xml:space="preserve"> </w:t>
      </w:r>
      <w:r w:rsidRPr="004E0869">
        <w:rPr>
          <w:rFonts w:ascii="IBM Plex Sans" w:hAnsi="IBM Plex Sans"/>
        </w:rPr>
        <w:t>vendors.</w:t>
      </w:r>
    </w:p>
    <w:p w:rsidR="00665CF0" w:rsidRPr="004E0869" w:rsidRDefault="008E3F1D" w:rsidP="00DE6CF5">
      <w:pPr>
        <w:pStyle w:val="ListParagraph"/>
        <w:numPr>
          <w:ilvl w:val="1"/>
          <w:numId w:val="2"/>
        </w:numPr>
        <w:tabs>
          <w:tab w:val="left" w:pos="1620"/>
        </w:tabs>
        <w:spacing w:before="2"/>
        <w:rPr>
          <w:rFonts w:ascii="IBM Plex Sans" w:hAnsi="IBM Plex Sans"/>
        </w:rPr>
      </w:pPr>
      <w:r w:rsidRPr="004E0869">
        <w:rPr>
          <w:rFonts w:ascii="IBM Plex Sans" w:hAnsi="IBM Plex Sans"/>
        </w:rPr>
        <w:t>NNF software can be procured through Exchange Empanelled</w:t>
      </w:r>
      <w:r w:rsidRPr="004E0869">
        <w:rPr>
          <w:rFonts w:ascii="IBM Plex Sans" w:hAnsi="IBM Plex Sans"/>
          <w:spacing w:val="-17"/>
        </w:rPr>
        <w:t xml:space="preserve"> </w:t>
      </w:r>
      <w:r w:rsidRPr="004E0869">
        <w:rPr>
          <w:rFonts w:ascii="IBM Plex Sans" w:hAnsi="IBM Plex Sans"/>
        </w:rPr>
        <w:t>Vendors.</w:t>
      </w:r>
    </w:p>
    <w:p w:rsidR="00BF38E9" w:rsidRPr="004E0869" w:rsidRDefault="008E3F1D" w:rsidP="00DE6CF5">
      <w:pPr>
        <w:pStyle w:val="ListParagraph"/>
        <w:numPr>
          <w:ilvl w:val="1"/>
          <w:numId w:val="2"/>
        </w:numPr>
        <w:tabs>
          <w:tab w:val="left" w:pos="1620"/>
        </w:tabs>
        <w:spacing w:before="2"/>
        <w:rPr>
          <w:rFonts w:ascii="IBM Plex Sans" w:hAnsi="IBM Plex Sans"/>
        </w:rPr>
      </w:pPr>
      <w:r w:rsidRPr="004E0869">
        <w:rPr>
          <w:rFonts w:ascii="IBM Plex Sans" w:hAnsi="IBM Plex Sans"/>
        </w:rPr>
        <w:t>NNF software can be availed through the services of an Application Service Providers</w:t>
      </w:r>
    </w:p>
    <w:p w:rsidR="00665CF0" w:rsidRPr="004E0869" w:rsidRDefault="008E3F1D" w:rsidP="00DE6CF5">
      <w:pPr>
        <w:pStyle w:val="ListParagraph"/>
        <w:tabs>
          <w:tab w:val="left" w:pos="1620"/>
        </w:tabs>
        <w:spacing w:before="2"/>
        <w:ind w:left="1620" w:firstLine="0"/>
        <w:rPr>
          <w:rFonts w:ascii="IBM Plex Sans" w:hAnsi="IBM Plex Sans"/>
        </w:rPr>
      </w:pPr>
      <w:r w:rsidRPr="004E0869">
        <w:rPr>
          <w:rFonts w:ascii="IBM Plex Sans" w:hAnsi="IBM Plex Sans"/>
        </w:rPr>
        <w:t>(ASPs) empanelled with the Exchange to offer such</w:t>
      </w:r>
      <w:r w:rsidRPr="004E0869">
        <w:rPr>
          <w:rFonts w:ascii="IBM Plex Sans" w:hAnsi="IBM Plex Sans"/>
          <w:spacing w:val="-11"/>
        </w:rPr>
        <w:t xml:space="preserve"> </w:t>
      </w:r>
      <w:r w:rsidRPr="004E0869">
        <w:rPr>
          <w:rFonts w:ascii="IBM Plex Sans" w:hAnsi="IBM Plex Sans"/>
        </w:rPr>
        <w:t>services.</w:t>
      </w:r>
    </w:p>
    <w:p w:rsidR="00665CF0" w:rsidRPr="004E0869" w:rsidRDefault="00665CF0" w:rsidP="00DE6CF5">
      <w:pPr>
        <w:pStyle w:val="BodyText"/>
        <w:jc w:val="both"/>
        <w:rPr>
          <w:rFonts w:ascii="IBM Plex Sans" w:hAnsi="IBM Plex Sans"/>
        </w:rPr>
      </w:pPr>
    </w:p>
    <w:p w:rsidR="00665CF0" w:rsidRPr="004E0869" w:rsidRDefault="008E3F1D" w:rsidP="00DE6CF5">
      <w:pPr>
        <w:pStyle w:val="BodyText"/>
        <w:numPr>
          <w:ilvl w:val="0"/>
          <w:numId w:val="3"/>
        </w:numPr>
        <w:spacing w:before="11"/>
        <w:ind w:left="1350"/>
        <w:jc w:val="both"/>
        <w:rPr>
          <w:rFonts w:ascii="IBM Plex Sans" w:hAnsi="IBM Plex Sans"/>
          <w:b/>
          <w:bCs/>
        </w:rPr>
      </w:pPr>
      <w:r w:rsidRPr="004E0869">
        <w:rPr>
          <w:rFonts w:ascii="IBM Plex Sans" w:hAnsi="IBM Plex Sans"/>
          <w:b/>
          <w:bCs/>
        </w:rPr>
        <w:t xml:space="preserve">I </w:t>
      </w:r>
      <w:r w:rsidRPr="004E0869">
        <w:rPr>
          <w:rFonts w:ascii="IBM Plex Sans" w:hAnsi="IBM Plex Sans"/>
          <w:b/>
          <w:bCs/>
          <w:spacing w:val="-3"/>
        </w:rPr>
        <w:t xml:space="preserve">wish </w:t>
      </w:r>
      <w:r w:rsidRPr="004E0869">
        <w:rPr>
          <w:rFonts w:ascii="IBM Plex Sans" w:hAnsi="IBM Plex Sans"/>
          <w:b/>
          <w:bCs/>
        </w:rPr>
        <w:t>to develop In-House software. How should I</w:t>
      </w:r>
      <w:r w:rsidRPr="004E0869">
        <w:rPr>
          <w:rFonts w:ascii="IBM Plex Sans" w:hAnsi="IBM Plex Sans"/>
          <w:b/>
          <w:bCs/>
          <w:spacing w:val="8"/>
        </w:rPr>
        <w:t xml:space="preserve"> </w:t>
      </w:r>
      <w:r w:rsidRPr="004E0869">
        <w:rPr>
          <w:rFonts w:ascii="IBM Plex Sans" w:hAnsi="IBM Plex Sans"/>
          <w:b/>
          <w:bCs/>
        </w:rPr>
        <w:t>proceed?</w:t>
      </w:r>
    </w:p>
    <w:p w:rsidR="00665CF0" w:rsidRPr="004E0869" w:rsidRDefault="008E3F1D" w:rsidP="00DE6CF5">
      <w:pPr>
        <w:pStyle w:val="ListParagraph"/>
        <w:numPr>
          <w:ilvl w:val="0"/>
          <w:numId w:val="1"/>
        </w:numPr>
        <w:tabs>
          <w:tab w:val="left" w:pos="1741"/>
        </w:tabs>
        <w:spacing w:before="1"/>
        <w:rPr>
          <w:rFonts w:ascii="IBM Plex Sans" w:hAnsi="IBM Plex Sans"/>
        </w:rPr>
      </w:pPr>
      <w:r w:rsidRPr="004E0869">
        <w:rPr>
          <w:rFonts w:ascii="IBM Plex Sans" w:hAnsi="IBM Plex Sans"/>
        </w:rPr>
        <w:t>Register with the Exchange as an In-house</w:t>
      </w:r>
      <w:r w:rsidRPr="004E0869">
        <w:rPr>
          <w:rFonts w:ascii="IBM Plex Sans" w:hAnsi="IBM Plex Sans"/>
          <w:spacing w:val="-8"/>
        </w:rPr>
        <w:t xml:space="preserve"> </w:t>
      </w:r>
      <w:r w:rsidRPr="004E0869">
        <w:rPr>
          <w:rFonts w:ascii="IBM Plex Sans" w:hAnsi="IBM Plex Sans"/>
        </w:rPr>
        <w:t>member.</w:t>
      </w:r>
    </w:p>
    <w:p w:rsidR="00665CF0" w:rsidRPr="004E0869" w:rsidRDefault="008E3F1D" w:rsidP="00DE6CF5">
      <w:pPr>
        <w:pStyle w:val="ListParagraph"/>
        <w:numPr>
          <w:ilvl w:val="0"/>
          <w:numId w:val="1"/>
        </w:numPr>
        <w:tabs>
          <w:tab w:val="left" w:pos="1741"/>
        </w:tabs>
        <w:spacing w:before="1"/>
        <w:rPr>
          <w:rFonts w:ascii="IBM Plex Sans" w:hAnsi="IBM Plex Sans"/>
        </w:rPr>
      </w:pPr>
      <w:r w:rsidRPr="004E0869">
        <w:rPr>
          <w:rFonts w:ascii="IBM Plex Sans" w:hAnsi="IBM Plex Sans"/>
        </w:rPr>
        <w:t>Apply for access to the Exchange Test market</w:t>
      </w:r>
      <w:r w:rsidRPr="004E0869">
        <w:rPr>
          <w:rFonts w:ascii="IBM Plex Sans" w:hAnsi="IBM Plex Sans"/>
          <w:spacing w:val="-15"/>
        </w:rPr>
        <w:t xml:space="preserve"> </w:t>
      </w:r>
      <w:r w:rsidR="009769E5" w:rsidRPr="004E0869">
        <w:rPr>
          <w:rFonts w:ascii="IBM Plex Sans" w:hAnsi="IBM Plex Sans"/>
        </w:rPr>
        <w:t>environment.</w:t>
      </w:r>
    </w:p>
    <w:p w:rsidR="00B02F82" w:rsidRPr="004E0869" w:rsidRDefault="00B02F82" w:rsidP="00DE6CF5">
      <w:pPr>
        <w:pStyle w:val="ListParagraph"/>
        <w:tabs>
          <w:tab w:val="left" w:pos="1741"/>
        </w:tabs>
        <w:spacing w:before="1"/>
        <w:ind w:left="1741" w:firstLine="0"/>
        <w:rPr>
          <w:rFonts w:ascii="IBM Plex Sans" w:hAnsi="IBM Plex Sans"/>
        </w:rPr>
      </w:pPr>
    </w:p>
    <w:p w:rsidR="00665CF0" w:rsidRPr="004E0869" w:rsidRDefault="008E3F1D" w:rsidP="00DE6CF5">
      <w:pPr>
        <w:pStyle w:val="BodyText"/>
        <w:numPr>
          <w:ilvl w:val="0"/>
          <w:numId w:val="3"/>
        </w:numPr>
        <w:tabs>
          <w:tab w:val="left" w:pos="1170"/>
          <w:tab w:val="left" w:pos="1350"/>
        </w:tabs>
        <w:spacing w:before="11"/>
        <w:ind w:left="1170" w:hanging="180"/>
        <w:jc w:val="both"/>
        <w:rPr>
          <w:rFonts w:ascii="IBM Plex Sans" w:hAnsi="IBM Plex Sans"/>
          <w:b/>
          <w:bCs/>
        </w:rPr>
      </w:pPr>
      <w:r w:rsidRPr="004E0869">
        <w:rPr>
          <w:rFonts w:ascii="IBM Plex Sans" w:hAnsi="IBM Plex Sans"/>
          <w:b/>
          <w:bCs/>
        </w:rPr>
        <w:t>What do you mean by In-House</w:t>
      </w:r>
      <w:r w:rsidRPr="004E0869">
        <w:rPr>
          <w:rFonts w:ascii="IBM Plex Sans" w:hAnsi="IBM Plex Sans"/>
          <w:b/>
          <w:bCs/>
          <w:spacing w:val="2"/>
        </w:rPr>
        <w:t xml:space="preserve"> </w:t>
      </w:r>
      <w:r w:rsidRPr="004E0869">
        <w:rPr>
          <w:rFonts w:ascii="IBM Plex Sans" w:hAnsi="IBM Plex Sans"/>
          <w:b/>
          <w:bCs/>
        </w:rPr>
        <w:t>Member?</w:t>
      </w:r>
    </w:p>
    <w:p w:rsidR="00665CF0" w:rsidRPr="004E0869" w:rsidRDefault="008E3F1D" w:rsidP="00DE6CF5">
      <w:pPr>
        <w:pStyle w:val="BodyText"/>
        <w:spacing w:before="11"/>
        <w:ind w:left="1350"/>
        <w:jc w:val="both"/>
        <w:rPr>
          <w:rFonts w:ascii="IBM Plex Sans" w:hAnsi="IBM Plex Sans"/>
        </w:rPr>
      </w:pPr>
      <w:r w:rsidRPr="004E0869">
        <w:rPr>
          <w:rFonts w:ascii="IBM Plex Sans" w:hAnsi="IBM Plex Sans"/>
        </w:rPr>
        <w:t xml:space="preserve">Members who opt to </w:t>
      </w:r>
      <w:r w:rsidR="00044EEE">
        <w:rPr>
          <w:rFonts w:ascii="IBM Plex Sans" w:hAnsi="IBM Plex Sans"/>
        </w:rPr>
        <w:t xml:space="preserve">develop and </w:t>
      </w:r>
      <w:r w:rsidRPr="004E0869">
        <w:rPr>
          <w:rFonts w:ascii="IBM Plex Sans" w:hAnsi="IBM Plex Sans"/>
        </w:rPr>
        <w:t xml:space="preserve">use their own trading front-end software (i.e. software developed by their in-house teams) </w:t>
      </w:r>
      <w:r w:rsidR="00044EEE">
        <w:rPr>
          <w:rFonts w:ascii="IBM Plex Sans" w:hAnsi="IBM Plex Sans"/>
        </w:rPr>
        <w:t xml:space="preserve">OR procured from </w:t>
      </w:r>
      <w:r w:rsidR="00044EEE" w:rsidRPr="004E0869">
        <w:rPr>
          <w:rFonts w:ascii="IBM Plex Sans" w:hAnsi="IBM Plex Sans"/>
        </w:rPr>
        <w:t>non-empanelled</w:t>
      </w:r>
      <w:r w:rsidR="00044EEE" w:rsidRPr="004E0869">
        <w:rPr>
          <w:rFonts w:ascii="IBM Plex Sans" w:hAnsi="IBM Plex Sans"/>
          <w:spacing w:val="-23"/>
        </w:rPr>
        <w:t xml:space="preserve"> </w:t>
      </w:r>
      <w:r w:rsidR="00044EEE" w:rsidRPr="004E0869">
        <w:rPr>
          <w:rFonts w:ascii="IBM Plex Sans" w:hAnsi="IBM Plex Sans"/>
        </w:rPr>
        <w:t>vendors</w:t>
      </w:r>
      <w:r w:rsidR="00044EEE" w:rsidRPr="004E0869" w:rsidDel="00044EEE">
        <w:rPr>
          <w:rFonts w:ascii="IBM Plex Sans" w:hAnsi="IBM Plex Sans"/>
        </w:rPr>
        <w:t xml:space="preserve"> </w:t>
      </w:r>
      <w:r w:rsidRPr="004E0869">
        <w:rPr>
          <w:rFonts w:ascii="IBM Plex Sans" w:hAnsi="IBM Plex Sans"/>
        </w:rPr>
        <w:t xml:space="preserve">to </w:t>
      </w:r>
      <w:r w:rsidR="00044EEE">
        <w:rPr>
          <w:rFonts w:ascii="IBM Plex Sans" w:hAnsi="IBM Plex Sans"/>
        </w:rPr>
        <w:t xml:space="preserve">connect and </w:t>
      </w:r>
      <w:r w:rsidRPr="004E0869">
        <w:rPr>
          <w:rFonts w:ascii="IBM Plex Sans" w:hAnsi="IBM Plex Sans"/>
        </w:rPr>
        <w:t>trade on the NSE trading system are known as ‘In-House’ Members.</w:t>
      </w:r>
    </w:p>
    <w:p w:rsidR="00665CF0" w:rsidRPr="004E0869" w:rsidRDefault="00665CF0" w:rsidP="00DE6CF5">
      <w:pPr>
        <w:pStyle w:val="BodyText"/>
        <w:spacing w:before="10"/>
        <w:jc w:val="both"/>
        <w:rPr>
          <w:rFonts w:ascii="IBM Plex Sans" w:hAnsi="IBM Plex Sans"/>
        </w:rPr>
      </w:pPr>
    </w:p>
    <w:p w:rsidR="00665CF0"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How do I apply for In-House</w:t>
      </w:r>
      <w:r w:rsidRPr="004E0869">
        <w:rPr>
          <w:rFonts w:ascii="IBM Plex Sans" w:hAnsi="IBM Plex Sans"/>
          <w:b/>
          <w:bCs/>
          <w:spacing w:val="-8"/>
        </w:rPr>
        <w:t xml:space="preserve"> </w:t>
      </w:r>
      <w:r w:rsidRPr="004E0869">
        <w:rPr>
          <w:rFonts w:ascii="IBM Plex Sans" w:hAnsi="IBM Plex Sans"/>
          <w:b/>
          <w:bCs/>
        </w:rPr>
        <w:t>registration?</w:t>
      </w:r>
    </w:p>
    <w:p w:rsidR="00665CF0" w:rsidRPr="004E0869" w:rsidRDefault="008E3F1D" w:rsidP="00DE6CF5">
      <w:pPr>
        <w:pStyle w:val="BodyText"/>
        <w:spacing w:before="11"/>
        <w:ind w:left="1350"/>
        <w:jc w:val="both"/>
        <w:rPr>
          <w:rFonts w:ascii="IBM Plex Sans" w:hAnsi="IBM Plex Sans"/>
        </w:rPr>
      </w:pPr>
      <w:r w:rsidRPr="004E0869">
        <w:rPr>
          <w:rFonts w:ascii="IBM Plex Sans" w:hAnsi="IBM Plex Sans"/>
        </w:rPr>
        <w:t>Member can submit online application for registration of In-House facility under undertaking submission in ENIT-NEW-TRADE on Member portal at path: TRADE &gt; NNF</w:t>
      </w:r>
      <w:r w:rsidR="00FB06AA">
        <w:rPr>
          <w:rFonts w:ascii="IBM Plex Sans" w:hAnsi="IBM Plex Sans"/>
        </w:rPr>
        <w:t xml:space="preserve"> REGISTRATION </w:t>
      </w:r>
      <w:r w:rsidRPr="004E0869">
        <w:rPr>
          <w:rFonts w:ascii="IBM Plex Sans" w:hAnsi="IBM Plex Sans"/>
        </w:rPr>
        <w:t xml:space="preserve">&gt; UNDERTAKING SUBMISSION. Kindly refer NSE circular Ref. No. </w:t>
      </w:r>
      <w:r w:rsidR="00150209" w:rsidRPr="006751DD">
        <w:rPr>
          <w:rFonts w:ascii="IBM Plex Sans" w:hAnsi="IBM Plex Sans"/>
        </w:rPr>
        <w:t>NSE/MSD/61825 </w:t>
      </w:r>
      <w:r w:rsidR="00150209" w:rsidRPr="00150209">
        <w:rPr>
          <w:rFonts w:ascii="IBM Plex Sans" w:hAnsi="IBM Plex Sans"/>
        </w:rPr>
        <w:t xml:space="preserve">and NSE/MSD/62692 </w:t>
      </w:r>
      <w:r w:rsidR="00150209" w:rsidRPr="002A3F94">
        <w:rPr>
          <w:rFonts w:ascii="IBM Plex Sans" w:hAnsi="IBM Plex Sans"/>
        </w:rPr>
        <w:t>dated April 30,2024 </w:t>
      </w:r>
      <w:r w:rsidR="00150209" w:rsidRPr="00150209">
        <w:rPr>
          <w:rFonts w:ascii="IBM Plex Sans" w:hAnsi="IBM Plex Sans"/>
        </w:rPr>
        <w:t>and June 28, 2024</w:t>
      </w:r>
      <w:r w:rsidR="008A3E24">
        <w:rPr>
          <w:rFonts w:ascii="IBM Plex Sans" w:hAnsi="IBM Plex Sans"/>
        </w:rPr>
        <w:t>.</w:t>
      </w:r>
    </w:p>
    <w:p w:rsidR="00665CF0" w:rsidRPr="004E0869" w:rsidRDefault="00665CF0" w:rsidP="00DE6CF5">
      <w:pPr>
        <w:pStyle w:val="BodyText"/>
        <w:spacing w:before="10"/>
        <w:jc w:val="both"/>
        <w:rPr>
          <w:rFonts w:ascii="IBM Plex Sans" w:hAnsi="IBM Plex Sans"/>
        </w:rPr>
      </w:pPr>
    </w:p>
    <w:p w:rsidR="00665CF0"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Are there any charges towards In-House registration?</w:t>
      </w:r>
    </w:p>
    <w:p w:rsidR="00665CF0" w:rsidRPr="004E0869" w:rsidRDefault="008E3F1D" w:rsidP="00DE6CF5">
      <w:pPr>
        <w:pStyle w:val="BodyText"/>
        <w:spacing w:before="2"/>
        <w:ind w:left="1350"/>
        <w:jc w:val="both"/>
        <w:rPr>
          <w:rFonts w:ascii="IBM Plex Sans" w:hAnsi="IBM Plex Sans"/>
        </w:rPr>
      </w:pPr>
      <w:r w:rsidRPr="004E0869">
        <w:rPr>
          <w:rFonts w:ascii="IBM Plex Sans" w:hAnsi="IBM Plex Sans"/>
        </w:rPr>
        <w:t>Yes. The charges are Rs.50,000</w:t>
      </w:r>
      <w:r w:rsidR="008A3E24">
        <w:rPr>
          <w:rFonts w:ascii="IBM Plex Sans" w:hAnsi="IBM Plex Sans"/>
        </w:rPr>
        <w:t>/-</w:t>
      </w:r>
      <w:r w:rsidRPr="004E0869">
        <w:rPr>
          <w:rFonts w:ascii="IBM Plex Sans" w:hAnsi="IBM Plex Sans"/>
        </w:rPr>
        <w:t xml:space="preserve"> (annual </w:t>
      </w:r>
      <w:r w:rsidR="008A3E24">
        <w:rPr>
          <w:rFonts w:ascii="IBM Plex Sans" w:hAnsi="IBM Plex Sans"/>
        </w:rPr>
        <w:t xml:space="preserve">recurring </w:t>
      </w:r>
      <w:r w:rsidRPr="004E0869">
        <w:rPr>
          <w:rFonts w:ascii="IBM Plex Sans" w:hAnsi="IBM Plex Sans"/>
        </w:rPr>
        <w:t>charge) + applicable taxes.</w:t>
      </w:r>
    </w:p>
    <w:p w:rsidR="00665CF0" w:rsidRPr="004E0869" w:rsidRDefault="00665CF0" w:rsidP="00DE6CF5">
      <w:pPr>
        <w:pStyle w:val="BodyText"/>
        <w:jc w:val="both"/>
        <w:rPr>
          <w:rFonts w:ascii="IBM Plex Sans" w:hAnsi="IBM Plex Sans"/>
        </w:rPr>
      </w:pPr>
    </w:p>
    <w:p w:rsidR="00665CF0"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How can I make the</w:t>
      </w:r>
      <w:r w:rsidRPr="004E0869">
        <w:rPr>
          <w:rFonts w:ascii="IBM Plex Sans" w:hAnsi="IBM Plex Sans"/>
          <w:b/>
          <w:bCs/>
          <w:spacing w:val="-9"/>
        </w:rPr>
        <w:t xml:space="preserve"> </w:t>
      </w:r>
      <w:r w:rsidRPr="004E0869">
        <w:rPr>
          <w:rFonts w:ascii="IBM Plex Sans" w:hAnsi="IBM Plex Sans"/>
          <w:b/>
          <w:bCs/>
        </w:rPr>
        <w:t>payment?</w:t>
      </w:r>
    </w:p>
    <w:p w:rsidR="00665CF0" w:rsidRPr="004E0869" w:rsidRDefault="008E3F1D" w:rsidP="00DE6CF5">
      <w:pPr>
        <w:pStyle w:val="BodyText"/>
        <w:spacing w:before="2"/>
        <w:ind w:left="1350"/>
        <w:jc w:val="both"/>
        <w:rPr>
          <w:rFonts w:ascii="IBM Plex Sans" w:hAnsi="IBM Plex Sans"/>
        </w:rPr>
      </w:pPr>
      <w:r w:rsidRPr="004E0869">
        <w:rPr>
          <w:rFonts w:ascii="IBM Plex Sans" w:hAnsi="IBM Plex Sans"/>
        </w:rPr>
        <w:t>Payment for the same is collected from the Member’s Exchange Dues account.</w:t>
      </w:r>
    </w:p>
    <w:p w:rsidR="00665CF0" w:rsidRPr="004E0869" w:rsidRDefault="00665CF0" w:rsidP="00DE6CF5">
      <w:pPr>
        <w:pStyle w:val="BodyText"/>
        <w:spacing w:before="10"/>
        <w:jc w:val="both"/>
        <w:rPr>
          <w:rFonts w:ascii="IBM Plex Sans" w:hAnsi="IBM Plex Sans"/>
        </w:rPr>
      </w:pPr>
    </w:p>
    <w:p w:rsidR="00665CF0"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What documents can I refer to develop In-House software?</w:t>
      </w:r>
    </w:p>
    <w:p w:rsidR="00665CF0" w:rsidRPr="004E0869" w:rsidRDefault="008E3F1D" w:rsidP="00F17F8E">
      <w:pPr>
        <w:spacing w:before="2"/>
        <w:ind w:left="1350" w:right="105"/>
        <w:jc w:val="both"/>
        <w:rPr>
          <w:rFonts w:ascii="IBM Plex Sans" w:hAnsi="IBM Plex Sans"/>
          <w:color w:val="0000FF"/>
          <w:u w:val="single" w:color="0000FF"/>
        </w:rPr>
      </w:pPr>
      <w:r w:rsidRPr="004E0869">
        <w:rPr>
          <w:rFonts w:ascii="IBM Plex Sans" w:hAnsi="IBM Plex Sans"/>
        </w:rPr>
        <w:t xml:space="preserve">Members </w:t>
      </w:r>
      <w:proofErr w:type="gramStart"/>
      <w:r w:rsidRPr="004E0869">
        <w:rPr>
          <w:rFonts w:ascii="IBM Plex Sans" w:hAnsi="IBM Plex Sans"/>
        </w:rPr>
        <w:t>have to</w:t>
      </w:r>
      <w:proofErr w:type="gramEnd"/>
      <w:r w:rsidRPr="004E0869">
        <w:rPr>
          <w:rFonts w:ascii="IBM Plex Sans" w:hAnsi="IBM Plex Sans"/>
        </w:rPr>
        <w:t xml:space="preserve"> refer to Exchange provided documents that describe the protocol to be used for Non-NEAT Front-end (NNF) applications to communicate with the Exchange's Trading System, known as Application Programming Interface (API). These are available on the Exchange website at: </w:t>
      </w:r>
      <w:hyperlink r:id="rId8" w:history="1">
        <w:r w:rsidR="006C3CF6" w:rsidRPr="004E0869">
          <w:rPr>
            <w:rStyle w:val="Hyperlink"/>
            <w:rFonts w:ascii="IBM Plex Sans" w:hAnsi="IBM Plex Sans"/>
          </w:rPr>
          <w:t>https://www.nseindia.com/trade/platform-services-neat-trading-system-protocols</w:t>
        </w:r>
      </w:hyperlink>
    </w:p>
    <w:p w:rsidR="006C3CF6" w:rsidRPr="004E0869" w:rsidRDefault="006C3CF6" w:rsidP="00F17F8E">
      <w:pPr>
        <w:spacing w:before="2"/>
        <w:ind w:left="1350" w:right="105"/>
        <w:jc w:val="both"/>
        <w:rPr>
          <w:rFonts w:ascii="IBM Plex Sans" w:hAnsi="IBM Plex Sans"/>
        </w:rPr>
      </w:pPr>
    </w:p>
    <w:p w:rsidR="00665CF0"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 xml:space="preserve">What are </w:t>
      </w:r>
      <w:r w:rsidRPr="004E0869">
        <w:rPr>
          <w:rFonts w:ascii="IBM Plex Sans" w:hAnsi="IBM Plex Sans"/>
          <w:b/>
          <w:bCs/>
          <w:spacing w:val="-3"/>
        </w:rPr>
        <w:t xml:space="preserve">the </w:t>
      </w:r>
      <w:r w:rsidRPr="004E0869">
        <w:rPr>
          <w:rFonts w:ascii="IBM Plex Sans" w:hAnsi="IBM Plex Sans"/>
          <w:b/>
          <w:bCs/>
        </w:rPr>
        <w:t xml:space="preserve">pre-requisites to seek registration of </w:t>
      </w:r>
      <w:r w:rsidRPr="004E0869">
        <w:rPr>
          <w:rFonts w:ascii="IBM Plex Sans" w:hAnsi="IBM Plex Sans"/>
          <w:b/>
          <w:bCs/>
          <w:spacing w:val="-3"/>
        </w:rPr>
        <w:t>NNF</w:t>
      </w:r>
      <w:r w:rsidRPr="004E0869">
        <w:rPr>
          <w:rFonts w:ascii="IBM Plex Sans" w:hAnsi="IBM Plex Sans"/>
          <w:b/>
          <w:bCs/>
          <w:spacing w:val="11"/>
        </w:rPr>
        <w:t xml:space="preserve"> </w:t>
      </w:r>
      <w:r w:rsidRPr="004E0869">
        <w:rPr>
          <w:rFonts w:ascii="IBM Plex Sans" w:hAnsi="IBM Plex Sans"/>
          <w:b/>
          <w:bCs/>
        </w:rPr>
        <w:t>software?</w:t>
      </w:r>
    </w:p>
    <w:p w:rsidR="00665CF0" w:rsidRPr="004E0869" w:rsidRDefault="008E3F1D" w:rsidP="00DE6CF5">
      <w:pPr>
        <w:spacing w:before="2"/>
        <w:ind w:left="1350" w:right="30"/>
        <w:jc w:val="both"/>
        <w:rPr>
          <w:rFonts w:ascii="IBM Plex Sans" w:hAnsi="IBM Plex Sans"/>
        </w:rPr>
      </w:pPr>
      <w:r w:rsidRPr="004E0869">
        <w:rPr>
          <w:rFonts w:ascii="IBM Plex Sans" w:hAnsi="IBM Plex Sans"/>
          <w:b/>
          <w:bCs/>
        </w:rPr>
        <w:t>Submission of Common NNF Undertaking:</w:t>
      </w:r>
      <w:r w:rsidRPr="004E0869">
        <w:rPr>
          <w:rFonts w:ascii="IBM Plex Sans" w:hAnsi="IBM Plex Sans"/>
        </w:rPr>
        <w:t xml:space="preserve"> Members seeking registration of their NNF software for the first time, need to prior submit an Undertaking Submission request. Members can place their request through ENIT-NEW-TRADE on Member portal and access the module at path: </w:t>
      </w:r>
      <w:r w:rsidRPr="004E0869">
        <w:rPr>
          <w:rFonts w:ascii="IBM Plex Sans" w:hAnsi="IBM Plex Sans"/>
          <w:b/>
          <w:bCs/>
        </w:rPr>
        <w:t>TRADE &gt; NNF</w:t>
      </w:r>
      <w:r w:rsidR="00FB06AA">
        <w:rPr>
          <w:rFonts w:ascii="IBM Plex Sans" w:hAnsi="IBM Plex Sans"/>
          <w:b/>
          <w:bCs/>
        </w:rPr>
        <w:t xml:space="preserve"> REGISTRATION</w:t>
      </w:r>
      <w:r w:rsidRPr="004E0869">
        <w:rPr>
          <w:rFonts w:ascii="IBM Plex Sans" w:hAnsi="IBM Plex Sans"/>
          <w:b/>
          <w:bCs/>
        </w:rPr>
        <w:t xml:space="preserve"> &gt; UNDERTAKING SUBMISSION</w:t>
      </w:r>
      <w:r w:rsidRPr="004E0869">
        <w:rPr>
          <w:rFonts w:ascii="IBM Plex Sans" w:hAnsi="IBM Plex Sans"/>
        </w:rPr>
        <w:t>.</w:t>
      </w:r>
    </w:p>
    <w:p w:rsidR="00665CF0" w:rsidRPr="004E0869" w:rsidRDefault="00665CF0" w:rsidP="00DE6CF5">
      <w:pPr>
        <w:pStyle w:val="BodyText"/>
        <w:spacing w:before="9"/>
        <w:ind w:right="30"/>
        <w:jc w:val="both"/>
        <w:rPr>
          <w:rFonts w:ascii="IBM Plex Sans" w:hAnsi="IBM Plex Sans"/>
        </w:rPr>
      </w:pPr>
    </w:p>
    <w:p w:rsidR="00665CF0" w:rsidRPr="004E0869" w:rsidRDefault="008E3F1D" w:rsidP="00DE6CF5">
      <w:pPr>
        <w:pStyle w:val="Heading2"/>
        <w:ind w:left="1350" w:right="30" w:firstLine="0"/>
        <w:rPr>
          <w:rFonts w:ascii="IBM Plex Sans" w:hAnsi="IBM Plex Sans"/>
        </w:rPr>
      </w:pPr>
      <w:r w:rsidRPr="004E0869">
        <w:rPr>
          <w:rFonts w:ascii="IBM Plex Sans" w:hAnsi="IBM Plex Sans"/>
        </w:rPr>
        <w:t>Documents to be submitted:</w:t>
      </w:r>
    </w:p>
    <w:p w:rsidR="00665CF0" w:rsidRPr="004E0869" w:rsidRDefault="008E3F1D" w:rsidP="00DE6CF5">
      <w:pPr>
        <w:pStyle w:val="BodyText"/>
        <w:spacing w:before="2"/>
        <w:ind w:left="1350" w:right="30"/>
        <w:jc w:val="both"/>
        <w:rPr>
          <w:rFonts w:ascii="IBM Plex Sans" w:hAnsi="IBM Plex Sans"/>
        </w:rPr>
      </w:pPr>
      <w:r w:rsidRPr="004E0869">
        <w:rPr>
          <w:rFonts w:ascii="IBM Plex Sans" w:hAnsi="IBM Plex Sans"/>
        </w:rPr>
        <w:t xml:space="preserve">Common NNF Undertaking on Stamp Paper (Physical copy to be submitted to </w:t>
      </w:r>
      <w:r w:rsidR="00F17F8E" w:rsidRPr="004E0869">
        <w:rPr>
          <w:rFonts w:ascii="IBM Plex Sans" w:hAnsi="IBM Plex Sans"/>
        </w:rPr>
        <w:t>the E</w:t>
      </w:r>
      <w:r w:rsidRPr="004E0869">
        <w:rPr>
          <w:rFonts w:ascii="IBM Plex Sans" w:hAnsi="IBM Plex Sans"/>
        </w:rPr>
        <w:t>xchange) Board Resolution</w:t>
      </w:r>
    </w:p>
    <w:p w:rsidR="00665CF0" w:rsidRPr="004E0869" w:rsidRDefault="00665CF0" w:rsidP="00DE6CF5">
      <w:pPr>
        <w:pStyle w:val="BodyText"/>
        <w:spacing w:before="11"/>
        <w:ind w:right="30"/>
        <w:jc w:val="both"/>
        <w:rPr>
          <w:rFonts w:ascii="IBM Plex Sans" w:hAnsi="IBM Plex Sans"/>
        </w:rPr>
      </w:pPr>
    </w:p>
    <w:p w:rsidR="00665CF0" w:rsidRPr="004E0869" w:rsidRDefault="008E3F1D" w:rsidP="00EA06B8">
      <w:pPr>
        <w:ind w:left="1350" w:right="30"/>
        <w:jc w:val="both"/>
        <w:rPr>
          <w:rFonts w:ascii="IBM Plex Sans" w:hAnsi="IBM Plex Sans"/>
        </w:rPr>
      </w:pPr>
      <w:r w:rsidRPr="004E0869">
        <w:rPr>
          <w:rFonts w:ascii="IBM Plex Sans" w:hAnsi="IBM Plex Sans"/>
          <w:b/>
        </w:rPr>
        <w:t xml:space="preserve">Common Undertaking </w:t>
      </w:r>
      <w:r w:rsidRPr="004E0869">
        <w:rPr>
          <w:rFonts w:ascii="IBM Plex Sans" w:hAnsi="IBM Plex Sans"/>
        </w:rPr>
        <w:t>– Annexure I, needs to be submitted only once. If Common</w:t>
      </w:r>
      <w:r w:rsidR="00DE6CF5" w:rsidRPr="004E0869">
        <w:rPr>
          <w:rFonts w:ascii="IBM Plex Sans" w:hAnsi="IBM Plex Sans"/>
        </w:rPr>
        <w:t xml:space="preserve"> </w:t>
      </w:r>
      <w:r w:rsidRPr="004E0869">
        <w:rPr>
          <w:rFonts w:ascii="IBM Plex Sans" w:hAnsi="IBM Plex Sans"/>
        </w:rPr>
        <w:t>Undertaking</w:t>
      </w:r>
      <w:r w:rsidR="00EA06B8" w:rsidRPr="004E0869">
        <w:rPr>
          <w:rFonts w:ascii="IBM Plex Sans" w:hAnsi="IBM Plex Sans"/>
        </w:rPr>
        <w:t xml:space="preserve"> </w:t>
      </w:r>
      <w:r w:rsidRPr="004E0869">
        <w:rPr>
          <w:rFonts w:ascii="IBM Plex Sans" w:hAnsi="IBM Plex Sans"/>
        </w:rPr>
        <w:t xml:space="preserve">– Annexure I is submitted while registration with Empaneled </w:t>
      </w:r>
      <w:proofErr w:type="gramStart"/>
      <w:r w:rsidRPr="004E0869">
        <w:rPr>
          <w:rFonts w:ascii="IBM Plex Sans" w:hAnsi="IBM Plex Sans"/>
        </w:rPr>
        <w:t>Vendor</w:t>
      </w:r>
      <w:proofErr w:type="gramEnd"/>
      <w:r w:rsidRPr="004E0869">
        <w:rPr>
          <w:rFonts w:ascii="IBM Plex Sans" w:hAnsi="IBM Plex Sans"/>
        </w:rPr>
        <w:t xml:space="preserve"> then the</w:t>
      </w:r>
      <w:r w:rsidRPr="001C6F04">
        <w:rPr>
          <w:rFonts w:ascii="IBM Plex Sans" w:hAnsi="IBM Plex Sans"/>
        </w:rPr>
        <w:t xml:space="preserve"> </w:t>
      </w:r>
      <w:r w:rsidRPr="004E0869">
        <w:rPr>
          <w:rFonts w:ascii="IBM Plex Sans" w:hAnsi="IBM Plex Sans"/>
        </w:rPr>
        <w:t>same is not required to be submitted at the time of In-House/ASP Software registration and vice versa.</w:t>
      </w:r>
    </w:p>
    <w:p w:rsidR="00665CF0" w:rsidRPr="004E0869" w:rsidRDefault="00665CF0" w:rsidP="00DE6CF5">
      <w:pPr>
        <w:pStyle w:val="BodyText"/>
        <w:ind w:right="30"/>
        <w:jc w:val="both"/>
        <w:rPr>
          <w:rFonts w:ascii="IBM Plex Sans" w:hAnsi="IBM Plex Sans"/>
        </w:rPr>
      </w:pPr>
    </w:p>
    <w:p w:rsidR="00F666FA"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 xml:space="preserve">What </w:t>
      </w:r>
      <w:proofErr w:type="gramStart"/>
      <w:r w:rsidRPr="004E0869">
        <w:rPr>
          <w:rFonts w:ascii="IBM Plex Sans" w:hAnsi="IBM Plex Sans"/>
          <w:b/>
          <w:bCs/>
        </w:rPr>
        <w:t>are</w:t>
      </w:r>
      <w:proofErr w:type="gramEnd"/>
      <w:r w:rsidRPr="004E0869">
        <w:rPr>
          <w:rFonts w:ascii="IBM Plex Sans" w:hAnsi="IBM Plex Sans"/>
          <w:b/>
          <w:bCs/>
        </w:rPr>
        <w:t xml:space="preserve"> </w:t>
      </w:r>
      <w:r w:rsidRPr="004E0869">
        <w:rPr>
          <w:rFonts w:ascii="IBM Plex Sans" w:hAnsi="IBM Plex Sans"/>
          <w:b/>
          <w:bCs/>
          <w:spacing w:val="-3"/>
        </w:rPr>
        <w:t xml:space="preserve">the list </w:t>
      </w:r>
      <w:r w:rsidRPr="004E0869">
        <w:rPr>
          <w:rFonts w:ascii="IBM Plex Sans" w:hAnsi="IBM Plex Sans"/>
          <w:b/>
          <w:bCs/>
        </w:rPr>
        <w:t xml:space="preserve">of documents to be submitted for the various </w:t>
      </w:r>
      <w:r w:rsidRPr="004E0869">
        <w:rPr>
          <w:rFonts w:ascii="IBM Plex Sans" w:hAnsi="IBM Plex Sans"/>
          <w:b/>
          <w:bCs/>
          <w:spacing w:val="-3"/>
        </w:rPr>
        <w:t xml:space="preserve">NNF </w:t>
      </w:r>
      <w:r w:rsidRPr="004E0869">
        <w:rPr>
          <w:rFonts w:ascii="IBM Plex Sans" w:hAnsi="IBM Plex Sans"/>
          <w:b/>
          <w:bCs/>
        </w:rPr>
        <w:t>products procured</w:t>
      </w:r>
      <w:r w:rsidR="00F666FA" w:rsidRPr="004E0869">
        <w:rPr>
          <w:rFonts w:ascii="IBM Plex Sans" w:hAnsi="IBM Plex Sans"/>
          <w:b/>
          <w:bCs/>
        </w:rPr>
        <w:t xml:space="preserve">  </w:t>
      </w:r>
    </w:p>
    <w:p w:rsidR="00665CF0" w:rsidRPr="004E0869" w:rsidRDefault="00F666FA" w:rsidP="00DE6CF5">
      <w:pPr>
        <w:pStyle w:val="BodyText"/>
        <w:tabs>
          <w:tab w:val="left" w:pos="1350"/>
        </w:tabs>
        <w:spacing w:before="11"/>
        <w:ind w:left="1080"/>
        <w:jc w:val="both"/>
        <w:rPr>
          <w:rFonts w:ascii="IBM Plex Sans" w:hAnsi="IBM Plex Sans"/>
          <w:b/>
          <w:bCs/>
        </w:rPr>
      </w:pPr>
      <w:r w:rsidRPr="004E0869">
        <w:rPr>
          <w:rFonts w:ascii="IBM Plex Sans" w:hAnsi="IBM Plex Sans"/>
          <w:b/>
          <w:bCs/>
        </w:rPr>
        <w:t xml:space="preserve">     </w:t>
      </w:r>
      <w:r w:rsidR="008E3F1D" w:rsidRPr="004E0869">
        <w:rPr>
          <w:rFonts w:ascii="IBM Plex Sans" w:hAnsi="IBM Plex Sans"/>
          <w:b/>
          <w:bCs/>
        </w:rPr>
        <w:t>through In-House or Empanelled</w:t>
      </w:r>
      <w:r w:rsidR="008E3F1D" w:rsidRPr="004E0869">
        <w:rPr>
          <w:rFonts w:ascii="IBM Plex Sans" w:hAnsi="IBM Plex Sans"/>
          <w:b/>
          <w:bCs/>
          <w:spacing w:val="-4"/>
        </w:rPr>
        <w:t xml:space="preserve"> </w:t>
      </w:r>
      <w:r w:rsidR="008E3F1D" w:rsidRPr="004E0869">
        <w:rPr>
          <w:rFonts w:ascii="IBM Plex Sans" w:hAnsi="IBM Plex Sans"/>
          <w:b/>
          <w:bCs/>
        </w:rPr>
        <w:t>Vendors?</w:t>
      </w:r>
    </w:p>
    <w:p w:rsidR="00665CF0" w:rsidRPr="004E0869" w:rsidRDefault="008E3F1D" w:rsidP="00DE6CF5">
      <w:pPr>
        <w:pStyle w:val="BodyText"/>
        <w:spacing w:before="2"/>
        <w:ind w:left="1350" w:right="30"/>
        <w:jc w:val="both"/>
        <w:rPr>
          <w:rFonts w:ascii="IBM Plex Sans" w:hAnsi="IBM Plex Sans"/>
        </w:rPr>
      </w:pPr>
      <w:r w:rsidRPr="004E0869">
        <w:rPr>
          <w:rFonts w:ascii="IBM Plex Sans" w:hAnsi="IBM Plex Sans"/>
        </w:rPr>
        <w:t xml:space="preserve">Post submission of the Undertaking request, members can proceed with submitting of applications through the online portal ENIT. Members are advised to refer </w:t>
      </w:r>
      <w:r w:rsidR="00966FE6" w:rsidRPr="004E0869">
        <w:rPr>
          <w:rFonts w:ascii="IBM Plex Sans" w:hAnsi="IBM Plex Sans"/>
        </w:rPr>
        <w:t>to the circular</w:t>
      </w:r>
      <w:r w:rsidRPr="004E0869">
        <w:rPr>
          <w:rFonts w:ascii="IBM Plex Sans" w:hAnsi="IBM Plex Sans"/>
        </w:rPr>
        <w:t xml:space="preserve"> for the list of documents to be submitted for both new as well as modified software/systems before applying on ENIT.</w:t>
      </w:r>
      <w:r w:rsidR="00E33B88">
        <w:rPr>
          <w:rFonts w:ascii="IBM Plex Sans" w:hAnsi="IBM Plex Sans"/>
        </w:rPr>
        <w:t xml:space="preserve"> For SOR, member is required to submit the application in physical form.</w:t>
      </w:r>
    </w:p>
    <w:p w:rsidR="00665CF0" w:rsidRPr="004E0869" w:rsidRDefault="00665CF0" w:rsidP="00DE6CF5">
      <w:pPr>
        <w:pStyle w:val="BodyText"/>
        <w:spacing w:before="2"/>
        <w:ind w:left="1350" w:right="688"/>
        <w:jc w:val="both"/>
        <w:rPr>
          <w:rFonts w:ascii="IBM Plex Sans" w:hAnsi="IBM Plex Sans"/>
        </w:rPr>
      </w:pPr>
    </w:p>
    <w:p w:rsidR="00665CF0" w:rsidRPr="004E0869" w:rsidRDefault="008E3F1D" w:rsidP="00DE6CF5">
      <w:pPr>
        <w:pStyle w:val="BodyText"/>
        <w:spacing w:before="2"/>
        <w:ind w:left="1350" w:right="30"/>
        <w:jc w:val="both"/>
        <w:rPr>
          <w:rFonts w:ascii="IBM Plex Sans" w:hAnsi="IBM Plex Sans"/>
        </w:rPr>
      </w:pPr>
      <w:r w:rsidRPr="004E0869">
        <w:rPr>
          <w:rFonts w:ascii="IBM Plex Sans" w:hAnsi="IBM Plex Sans"/>
        </w:rPr>
        <w:t>For formats</w:t>
      </w:r>
      <w:r w:rsidR="00F666FA" w:rsidRPr="004E0869">
        <w:rPr>
          <w:rFonts w:ascii="IBM Plex Sans" w:hAnsi="IBM Plex Sans"/>
        </w:rPr>
        <w:t xml:space="preserve"> </w:t>
      </w:r>
      <w:r w:rsidRPr="004E0869">
        <w:rPr>
          <w:rFonts w:ascii="IBM Plex Sans" w:hAnsi="IBM Plex Sans"/>
        </w:rPr>
        <w:t>of</w:t>
      </w:r>
      <w:r w:rsidR="00F666FA" w:rsidRPr="004E0869">
        <w:rPr>
          <w:rFonts w:ascii="IBM Plex Sans" w:hAnsi="IBM Plex Sans"/>
        </w:rPr>
        <w:t xml:space="preserve"> </w:t>
      </w:r>
      <w:r w:rsidRPr="004E0869">
        <w:rPr>
          <w:rFonts w:ascii="IBM Plex Sans" w:hAnsi="IBM Plex Sans"/>
        </w:rPr>
        <w:t>the</w:t>
      </w:r>
      <w:r w:rsidR="00F666FA" w:rsidRPr="004E0869">
        <w:rPr>
          <w:rFonts w:ascii="IBM Plex Sans" w:hAnsi="IBM Plex Sans"/>
        </w:rPr>
        <w:t xml:space="preserve"> </w:t>
      </w:r>
      <w:r w:rsidRPr="004E0869">
        <w:rPr>
          <w:rFonts w:ascii="IBM Plex Sans" w:hAnsi="IBM Plex Sans"/>
        </w:rPr>
        <w:t>applications,</w:t>
      </w:r>
      <w:r w:rsidR="00F666FA" w:rsidRPr="004E0869">
        <w:rPr>
          <w:rFonts w:ascii="IBM Plex Sans" w:hAnsi="IBM Plex Sans"/>
        </w:rPr>
        <w:t xml:space="preserve"> </w:t>
      </w:r>
      <w:r w:rsidRPr="004E0869">
        <w:rPr>
          <w:rFonts w:ascii="IBM Plex Sans" w:hAnsi="IBM Plex Sans"/>
        </w:rPr>
        <w:t>members</w:t>
      </w:r>
      <w:r w:rsidR="00F666FA" w:rsidRPr="004E0869">
        <w:rPr>
          <w:rFonts w:ascii="IBM Plex Sans" w:hAnsi="IBM Plex Sans"/>
        </w:rPr>
        <w:t xml:space="preserve"> </w:t>
      </w:r>
      <w:r w:rsidRPr="004E0869">
        <w:rPr>
          <w:rFonts w:ascii="IBM Plex Sans" w:hAnsi="IBM Plex Sans"/>
        </w:rPr>
        <w:t>can</w:t>
      </w:r>
      <w:r w:rsidR="00F666FA" w:rsidRPr="004E0869">
        <w:rPr>
          <w:rFonts w:ascii="IBM Plex Sans" w:hAnsi="IBM Plex Sans"/>
        </w:rPr>
        <w:t xml:space="preserve"> </w:t>
      </w:r>
      <w:r w:rsidRPr="004E0869">
        <w:rPr>
          <w:rFonts w:ascii="IBM Plex Sans" w:hAnsi="IBM Plex Sans"/>
        </w:rPr>
        <w:t>refer</w:t>
      </w:r>
      <w:r w:rsidR="00F666FA" w:rsidRPr="004E0869">
        <w:rPr>
          <w:rFonts w:ascii="IBM Plex Sans" w:hAnsi="IBM Plex Sans"/>
        </w:rPr>
        <w:t xml:space="preserve"> </w:t>
      </w:r>
      <w:r w:rsidRPr="004E0869">
        <w:rPr>
          <w:rFonts w:ascii="IBM Plex Sans" w:hAnsi="IBM Plex Sans"/>
        </w:rPr>
        <w:t>to circular</w:t>
      </w:r>
      <w:r w:rsidR="00F666FA" w:rsidRPr="004E0869">
        <w:rPr>
          <w:rFonts w:ascii="IBM Plex Sans" w:hAnsi="IBM Plex Sans"/>
        </w:rPr>
        <w:t xml:space="preserve"> </w:t>
      </w:r>
      <w:r w:rsidRPr="004E0869">
        <w:rPr>
          <w:rFonts w:ascii="IBM Plex Sans" w:hAnsi="IBM Plex Sans"/>
        </w:rPr>
        <w:t>reference</w:t>
      </w:r>
      <w:r w:rsidR="00F666FA" w:rsidRPr="004E0869">
        <w:rPr>
          <w:rFonts w:ascii="IBM Plex Sans" w:hAnsi="IBM Plex Sans"/>
        </w:rPr>
        <w:t xml:space="preserve"> </w:t>
      </w:r>
      <w:r w:rsidRPr="004E0869">
        <w:rPr>
          <w:rFonts w:ascii="IBM Plex Sans" w:hAnsi="IBM Plex Sans"/>
        </w:rPr>
        <w:t>number</w:t>
      </w:r>
      <w:r w:rsidR="00F666FA" w:rsidRPr="004E0869">
        <w:rPr>
          <w:rFonts w:ascii="IBM Plex Sans" w:hAnsi="IBM Plex Sans"/>
        </w:rPr>
        <w:t xml:space="preserve"> </w:t>
      </w:r>
      <w:hyperlink r:id="rId9" w:history="1">
        <w:r w:rsidR="00150209" w:rsidRPr="006751DD">
          <w:rPr>
            <w:rFonts w:ascii="IBM Plex Sans" w:hAnsi="IBM Plex Sans"/>
          </w:rPr>
          <w:t>NSE/MSD/61825</w:t>
        </w:r>
      </w:hyperlink>
      <w:r w:rsidR="00150209" w:rsidRPr="006751DD">
        <w:rPr>
          <w:rFonts w:ascii="IBM Plex Sans" w:hAnsi="IBM Plex Sans"/>
        </w:rPr>
        <w:t> </w:t>
      </w:r>
      <w:r w:rsidR="00150209" w:rsidRPr="00150209">
        <w:rPr>
          <w:rFonts w:ascii="IBM Plex Sans" w:hAnsi="IBM Plex Sans"/>
        </w:rPr>
        <w:t xml:space="preserve">and NSE/MSD/62692 </w:t>
      </w:r>
      <w:r w:rsidR="00150209" w:rsidRPr="002A3F94">
        <w:rPr>
          <w:rFonts w:ascii="IBM Plex Sans" w:hAnsi="IBM Plex Sans"/>
        </w:rPr>
        <w:t>dated April 30,2024 </w:t>
      </w:r>
      <w:r w:rsidR="00150209" w:rsidRPr="00150209">
        <w:rPr>
          <w:rFonts w:ascii="IBM Plex Sans" w:hAnsi="IBM Plex Sans"/>
        </w:rPr>
        <w:t>and June 28, 2024</w:t>
      </w:r>
      <w:r w:rsidR="008A3E24">
        <w:rPr>
          <w:rFonts w:ascii="IBM Plex Sans" w:hAnsi="IBM Plex Sans"/>
        </w:rPr>
        <w:t>.</w:t>
      </w:r>
    </w:p>
    <w:p w:rsidR="00665CF0" w:rsidRPr="004E0869" w:rsidRDefault="00665CF0" w:rsidP="00DE6CF5">
      <w:pPr>
        <w:pStyle w:val="BodyText"/>
        <w:spacing w:before="10"/>
        <w:jc w:val="both"/>
        <w:rPr>
          <w:rFonts w:ascii="IBM Plex Sans" w:hAnsi="IBM Plex Sans"/>
        </w:rPr>
      </w:pPr>
    </w:p>
    <w:p w:rsidR="00665CF0"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 xml:space="preserve">Which </w:t>
      </w:r>
      <w:proofErr w:type="gramStart"/>
      <w:r w:rsidRPr="004E0869">
        <w:rPr>
          <w:rFonts w:ascii="IBM Plex Sans" w:hAnsi="IBM Plex Sans"/>
          <w:b/>
          <w:bCs/>
        </w:rPr>
        <w:t>are</w:t>
      </w:r>
      <w:proofErr w:type="gramEnd"/>
      <w:r w:rsidRPr="004E0869">
        <w:rPr>
          <w:rFonts w:ascii="IBM Plex Sans" w:hAnsi="IBM Plex Sans"/>
          <w:b/>
          <w:bCs/>
        </w:rPr>
        <w:t xml:space="preserve"> the exchange empanelled vendors for </w:t>
      </w:r>
      <w:r w:rsidRPr="004E0869">
        <w:rPr>
          <w:rFonts w:ascii="IBM Plex Sans" w:hAnsi="IBM Plex Sans"/>
          <w:b/>
          <w:bCs/>
          <w:spacing w:val="-3"/>
        </w:rPr>
        <w:t>NNF</w:t>
      </w:r>
      <w:r w:rsidRPr="004E0869">
        <w:rPr>
          <w:rFonts w:ascii="IBM Plex Sans" w:hAnsi="IBM Plex Sans"/>
          <w:b/>
          <w:bCs/>
          <w:spacing w:val="-6"/>
        </w:rPr>
        <w:t xml:space="preserve"> </w:t>
      </w:r>
      <w:r w:rsidRPr="004E0869">
        <w:rPr>
          <w:rFonts w:ascii="IBM Plex Sans" w:hAnsi="IBM Plex Sans"/>
          <w:b/>
          <w:bCs/>
        </w:rPr>
        <w:t>Software?</w:t>
      </w:r>
    </w:p>
    <w:p w:rsidR="00665CF0" w:rsidRPr="004E0869" w:rsidRDefault="008E3F1D" w:rsidP="00DE6CF5">
      <w:pPr>
        <w:pStyle w:val="BodyText"/>
        <w:spacing w:before="2"/>
        <w:ind w:left="1350" w:right="30"/>
        <w:jc w:val="both"/>
        <w:rPr>
          <w:rFonts w:ascii="IBM Plex Sans" w:hAnsi="IBM Plex Sans"/>
        </w:rPr>
      </w:pPr>
      <w:r w:rsidRPr="004E0869">
        <w:rPr>
          <w:rFonts w:ascii="IBM Plex Sans" w:hAnsi="IBM Plex Sans"/>
        </w:rPr>
        <w:t xml:space="preserve">The member can procure NNF software from the vendors empanelled with the exchange. The list of Exchange empanelled vendors is available on the Exchange website at </w:t>
      </w:r>
      <w:hyperlink r:id="rId10" w:history="1">
        <w:r w:rsidR="00FA55AA" w:rsidRPr="004E0869">
          <w:rPr>
            <w:rStyle w:val="Hyperlink"/>
            <w:rFonts w:ascii="IBM Plex Sans" w:hAnsi="IBM Plex Sans"/>
          </w:rPr>
          <w:t>https://nseindia.com/trade/platform-services-non-neat-empanelled-vendors-of-the-exchange</w:t>
        </w:r>
      </w:hyperlink>
    </w:p>
    <w:p w:rsidR="00F666FA" w:rsidRPr="004E0869" w:rsidRDefault="00F666FA" w:rsidP="00DE6CF5">
      <w:pPr>
        <w:pStyle w:val="Heading2"/>
        <w:tabs>
          <w:tab w:val="left" w:pos="1391"/>
        </w:tabs>
        <w:spacing w:before="68"/>
        <w:ind w:left="1020" w:right="774" w:firstLine="0"/>
        <w:rPr>
          <w:rFonts w:ascii="IBM Plex Sans" w:hAnsi="IBM Plex Sans"/>
        </w:rPr>
      </w:pPr>
    </w:p>
    <w:p w:rsidR="00AE0B96" w:rsidRPr="004E0869" w:rsidRDefault="00AE0B96" w:rsidP="00AE0B96">
      <w:pPr>
        <w:pStyle w:val="BodyText"/>
        <w:numPr>
          <w:ilvl w:val="0"/>
          <w:numId w:val="3"/>
        </w:numPr>
        <w:tabs>
          <w:tab w:val="left" w:pos="1350"/>
        </w:tabs>
        <w:spacing w:before="11"/>
        <w:ind w:left="1350"/>
        <w:jc w:val="both"/>
        <w:rPr>
          <w:rFonts w:ascii="IBM Plex Sans" w:hAnsi="IBM Plex Sans"/>
          <w:b/>
          <w:bCs/>
        </w:rPr>
      </w:pPr>
      <w:r w:rsidRPr="004E0869">
        <w:rPr>
          <w:rFonts w:ascii="IBM Plex Sans" w:hAnsi="IBM Plex Sans"/>
          <w:b/>
          <w:bCs/>
        </w:rPr>
        <w:t>I wish to avail the services of Application Service Provider (ASP). How should I proceed?</w:t>
      </w:r>
    </w:p>
    <w:p w:rsidR="00665CF0" w:rsidRPr="004E0869" w:rsidRDefault="008E3F1D" w:rsidP="00AE0B96">
      <w:pPr>
        <w:pStyle w:val="BodyText"/>
        <w:spacing w:before="2"/>
        <w:ind w:left="1350" w:right="30"/>
        <w:jc w:val="both"/>
        <w:rPr>
          <w:rFonts w:ascii="IBM Plex Sans" w:hAnsi="IBM Plex Sans"/>
        </w:rPr>
      </w:pPr>
      <w:r w:rsidRPr="004E0869">
        <w:rPr>
          <w:rFonts w:ascii="IBM Plex Sans" w:hAnsi="IBM Plex Sans"/>
        </w:rPr>
        <w:t xml:space="preserve">The list of Application Service Provider’s empanelled with the Exchange is available on the Exchange website at </w:t>
      </w:r>
      <w:hyperlink r:id="rId11" w:history="1">
        <w:r w:rsidR="00966FE6" w:rsidRPr="004E0869">
          <w:rPr>
            <w:rStyle w:val="Hyperlink"/>
            <w:rFonts w:ascii="IBM Plex Sans" w:hAnsi="IBM Plex Sans"/>
          </w:rPr>
          <w:t>https://nseindia.com/trade/platform-services-non-neat-empanelled-vendors-of-the-exchange</w:t>
        </w:r>
      </w:hyperlink>
      <w:r w:rsidR="00C76737" w:rsidRPr="00C76737">
        <w:rPr>
          <w:rStyle w:val="Hyperlink"/>
          <w:rFonts w:ascii="IBM Plex Sans" w:hAnsi="IBM Plex Sans"/>
          <w:u w:val="none"/>
        </w:rPr>
        <w:t xml:space="preserve"> </w:t>
      </w:r>
      <w:r w:rsidRPr="004E0869">
        <w:rPr>
          <w:rFonts w:ascii="IBM Plex Sans" w:hAnsi="IBM Plex Sans"/>
        </w:rPr>
        <w:t xml:space="preserve">Members desiring to avail ASP services are required to submit their applications to the respective ASP. Members can refer NSE circular ref no </w:t>
      </w:r>
      <w:hyperlink r:id="rId12" w:history="1">
        <w:r w:rsidR="00150209" w:rsidRPr="006751DD">
          <w:rPr>
            <w:rFonts w:ascii="IBM Plex Sans" w:hAnsi="IBM Plex Sans"/>
          </w:rPr>
          <w:t>NSE/MSD/61825</w:t>
        </w:r>
      </w:hyperlink>
      <w:r w:rsidR="00150209" w:rsidRPr="006751DD">
        <w:rPr>
          <w:rFonts w:ascii="IBM Plex Sans" w:hAnsi="IBM Plex Sans"/>
        </w:rPr>
        <w:t> </w:t>
      </w:r>
      <w:r w:rsidR="00150209" w:rsidRPr="00150209">
        <w:rPr>
          <w:rFonts w:ascii="IBM Plex Sans" w:hAnsi="IBM Plex Sans"/>
        </w:rPr>
        <w:t xml:space="preserve">and NSE/MSD/62692 </w:t>
      </w:r>
      <w:r w:rsidR="00150209" w:rsidRPr="002A3F94">
        <w:rPr>
          <w:rFonts w:ascii="IBM Plex Sans" w:hAnsi="IBM Plex Sans"/>
        </w:rPr>
        <w:t>dated April 30,2024 </w:t>
      </w:r>
      <w:r w:rsidR="00150209" w:rsidRPr="00150209">
        <w:rPr>
          <w:rFonts w:ascii="IBM Plex Sans" w:hAnsi="IBM Plex Sans"/>
        </w:rPr>
        <w:t>and June 28, 2024</w:t>
      </w:r>
      <w:r w:rsidR="00150209">
        <w:rPr>
          <w:rFonts w:ascii="IBM Plex Sans" w:hAnsi="IBM Plex Sans"/>
        </w:rPr>
        <w:t xml:space="preserve"> </w:t>
      </w:r>
      <w:r w:rsidRPr="004E0869">
        <w:rPr>
          <w:rFonts w:ascii="IBM Plex Sans" w:hAnsi="IBM Plex Sans"/>
        </w:rPr>
        <w:t>regarding the list of documents to be submitted to ASPs.</w:t>
      </w:r>
      <w:r w:rsidR="00AE0B96" w:rsidRPr="004E0869">
        <w:rPr>
          <w:rFonts w:ascii="IBM Plex Sans" w:hAnsi="IBM Plex Sans"/>
        </w:rPr>
        <w:t xml:space="preserve"> </w:t>
      </w:r>
    </w:p>
    <w:p w:rsidR="00665CF0" w:rsidRPr="004E0869" w:rsidRDefault="00665CF0" w:rsidP="00DE6CF5">
      <w:pPr>
        <w:pStyle w:val="BodyText"/>
        <w:spacing w:before="1"/>
        <w:jc w:val="both"/>
        <w:rPr>
          <w:rFonts w:ascii="IBM Plex Sans" w:hAnsi="IBM Plex Sans"/>
        </w:rPr>
      </w:pPr>
    </w:p>
    <w:p w:rsidR="00665CF0"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 xml:space="preserve">Can I surrender </w:t>
      </w:r>
      <w:r w:rsidRPr="004E0869">
        <w:rPr>
          <w:rFonts w:ascii="IBM Plex Sans" w:hAnsi="IBM Plex Sans"/>
          <w:b/>
          <w:bCs/>
          <w:spacing w:val="-3"/>
        </w:rPr>
        <w:t xml:space="preserve">my NNF </w:t>
      </w:r>
      <w:r w:rsidRPr="004E0869">
        <w:rPr>
          <w:rFonts w:ascii="IBM Plex Sans" w:hAnsi="IBM Plex Sans"/>
          <w:b/>
          <w:bCs/>
        </w:rPr>
        <w:t xml:space="preserve">products registered </w:t>
      </w:r>
      <w:r w:rsidRPr="004E0869">
        <w:rPr>
          <w:rFonts w:ascii="IBM Plex Sans" w:hAnsi="IBM Plex Sans"/>
          <w:b/>
          <w:bCs/>
          <w:spacing w:val="-3"/>
        </w:rPr>
        <w:t xml:space="preserve">with </w:t>
      </w:r>
      <w:r w:rsidRPr="004E0869">
        <w:rPr>
          <w:rFonts w:ascii="IBM Plex Sans" w:hAnsi="IBM Plex Sans"/>
          <w:b/>
          <w:bCs/>
        </w:rPr>
        <w:t>the</w:t>
      </w:r>
      <w:r w:rsidRPr="004E0869">
        <w:rPr>
          <w:rFonts w:ascii="IBM Plex Sans" w:hAnsi="IBM Plex Sans"/>
          <w:b/>
          <w:bCs/>
          <w:spacing w:val="7"/>
        </w:rPr>
        <w:t xml:space="preserve"> </w:t>
      </w:r>
      <w:r w:rsidRPr="004E0869">
        <w:rPr>
          <w:rFonts w:ascii="IBM Plex Sans" w:hAnsi="IBM Plex Sans"/>
          <w:b/>
          <w:bCs/>
        </w:rPr>
        <w:t>exchange?</w:t>
      </w:r>
    </w:p>
    <w:p w:rsidR="00665CF0" w:rsidRPr="004E0869" w:rsidRDefault="008E3F1D" w:rsidP="00DE6CF5">
      <w:pPr>
        <w:pStyle w:val="BodyText"/>
        <w:spacing w:before="2"/>
        <w:ind w:left="1350" w:right="30"/>
        <w:jc w:val="both"/>
        <w:rPr>
          <w:rFonts w:ascii="IBM Plex Sans" w:hAnsi="IBM Plex Sans"/>
        </w:rPr>
      </w:pPr>
      <w:r w:rsidRPr="004E0869">
        <w:rPr>
          <w:rFonts w:ascii="IBM Plex Sans" w:hAnsi="IBM Plex Sans"/>
        </w:rPr>
        <w:t xml:space="preserve">Yes, you can surrender your registered NNF products. </w:t>
      </w:r>
      <w:r w:rsidR="00966FE6" w:rsidRPr="004E0869">
        <w:rPr>
          <w:rFonts w:ascii="IBM Plex Sans" w:hAnsi="IBM Plex Sans"/>
        </w:rPr>
        <w:t>However,</w:t>
      </w:r>
      <w:r w:rsidRPr="004E0869">
        <w:rPr>
          <w:rFonts w:ascii="IBM Plex Sans" w:hAnsi="IBM Plex Sans"/>
        </w:rPr>
        <w:t xml:space="preserve"> before submitting your surrender request, members are advised to disable all user IDs activated under the respective products. Members can refer NSE circular ref no NSE/MSD/</w:t>
      </w:r>
      <w:r w:rsidR="00150209">
        <w:rPr>
          <w:rFonts w:ascii="IBM Plex Sans" w:hAnsi="IBM Plex Sans"/>
        </w:rPr>
        <w:t>61825</w:t>
      </w:r>
      <w:r w:rsidRPr="004E0869">
        <w:rPr>
          <w:rFonts w:ascii="IBM Plex Sans" w:hAnsi="IBM Plex Sans"/>
        </w:rPr>
        <w:t xml:space="preserve"> dated </w:t>
      </w:r>
      <w:r w:rsidR="00150209">
        <w:rPr>
          <w:rFonts w:ascii="IBM Plex Sans" w:hAnsi="IBM Plex Sans"/>
        </w:rPr>
        <w:t>April 30</w:t>
      </w:r>
      <w:r w:rsidR="001C6227" w:rsidRPr="004E0869">
        <w:rPr>
          <w:rFonts w:ascii="IBM Plex Sans" w:hAnsi="IBM Plex Sans"/>
        </w:rPr>
        <w:t xml:space="preserve">th, </w:t>
      </w:r>
      <w:proofErr w:type="gramStart"/>
      <w:r w:rsidR="001C6227" w:rsidRPr="004E0869">
        <w:rPr>
          <w:rFonts w:ascii="IBM Plex Sans" w:hAnsi="IBM Plex Sans"/>
        </w:rPr>
        <w:t>202</w:t>
      </w:r>
      <w:r w:rsidR="00150209">
        <w:rPr>
          <w:rFonts w:ascii="IBM Plex Sans" w:hAnsi="IBM Plex Sans"/>
        </w:rPr>
        <w:t>4</w:t>
      </w:r>
      <w:proofErr w:type="gramEnd"/>
      <w:r w:rsidR="001C6227" w:rsidRPr="004E0869">
        <w:rPr>
          <w:rFonts w:ascii="IBM Plex Sans" w:hAnsi="IBM Plex Sans"/>
        </w:rPr>
        <w:t xml:space="preserve"> </w:t>
      </w:r>
      <w:r w:rsidRPr="004E0869">
        <w:rPr>
          <w:rFonts w:ascii="IBM Plex Sans" w:hAnsi="IBM Plex Sans"/>
        </w:rPr>
        <w:t>regarding surrender request of NNF software.</w:t>
      </w:r>
    </w:p>
    <w:p w:rsidR="00665CF0" w:rsidRPr="004E0869" w:rsidRDefault="00665CF0" w:rsidP="00DE6CF5">
      <w:pPr>
        <w:pStyle w:val="BodyText"/>
        <w:spacing w:before="1"/>
        <w:jc w:val="both"/>
        <w:rPr>
          <w:rFonts w:ascii="IBM Plex Sans" w:hAnsi="IBM Plex Sans"/>
        </w:rPr>
      </w:pPr>
    </w:p>
    <w:p w:rsidR="00665CF0"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 xml:space="preserve">What is the process to surrender </w:t>
      </w:r>
      <w:r w:rsidRPr="004E0869">
        <w:rPr>
          <w:rFonts w:ascii="IBM Plex Sans" w:hAnsi="IBM Plex Sans"/>
          <w:b/>
          <w:bCs/>
          <w:spacing w:val="-3"/>
        </w:rPr>
        <w:t xml:space="preserve">my </w:t>
      </w:r>
      <w:r w:rsidRPr="004E0869">
        <w:rPr>
          <w:rFonts w:ascii="IBM Plex Sans" w:hAnsi="IBM Plex Sans"/>
          <w:b/>
          <w:bCs/>
        </w:rPr>
        <w:t xml:space="preserve">registered </w:t>
      </w:r>
      <w:r w:rsidRPr="004E0869">
        <w:rPr>
          <w:rFonts w:ascii="IBM Plex Sans" w:hAnsi="IBM Plex Sans"/>
          <w:b/>
          <w:bCs/>
          <w:spacing w:val="-4"/>
        </w:rPr>
        <w:t>NNF</w:t>
      </w:r>
      <w:r w:rsidRPr="004E0869">
        <w:rPr>
          <w:rFonts w:ascii="IBM Plex Sans" w:hAnsi="IBM Plex Sans"/>
          <w:b/>
          <w:bCs/>
          <w:spacing w:val="3"/>
        </w:rPr>
        <w:t xml:space="preserve"> </w:t>
      </w:r>
      <w:r w:rsidRPr="004E0869">
        <w:rPr>
          <w:rFonts w:ascii="IBM Plex Sans" w:hAnsi="IBM Plex Sans"/>
          <w:b/>
          <w:bCs/>
        </w:rPr>
        <w:t>products?</w:t>
      </w:r>
    </w:p>
    <w:p w:rsidR="00665CF0" w:rsidRPr="004E0869" w:rsidRDefault="008E3F1D" w:rsidP="00DE6CF5">
      <w:pPr>
        <w:pStyle w:val="BodyText"/>
        <w:spacing w:before="2"/>
        <w:ind w:left="1350" w:right="30"/>
        <w:jc w:val="both"/>
        <w:rPr>
          <w:rFonts w:ascii="IBM Plex Sans" w:hAnsi="IBM Plex Sans"/>
        </w:rPr>
      </w:pPr>
      <w:r w:rsidRPr="004E0869">
        <w:rPr>
          <w:rFonts w:ascii="IBM Plex Sans" w:hAnsi="IBM Plex Sans"/>
        </w:rPr>
        <w:t xml:space="preserve">NNF products can be surrendered through ENIT-NEW-TRADE on Member portal and access the module at path: </w:t>
      </w:r>
      <w:r w:rsidRPr="004E0869">
        <w:rPr>
          <w:rFonts w:ascii="IBM Plex Sans" w:hAnsi="IBM Plex Sans"/>
          <w:b/>
          <w:bCs/>
        </w:rPr>
        <w:t>Trade &gt; NNF surrender &gt; Surrender Request</w:t>
      </w:r>
    </w:p>
    <w:p w:rsidR="00665CF0" w:rsidRPr="004E0869" w:rsidRDefault="00665CF0" w:rsidP="00DE6CF5">
      <w:pPr>
        <w:pStyle w:val="BodyText"/>
        <w:spacing w:before="3"/>
        <w:jc w:val="both"/>
        <w:rPr>
          <w:rFonts w:ascii="IBM Plex Sans" w:hAnsi="IBM Plex Sans"/>
          <w:b/>
        </w:rPr>
      </w:pPr>
    </w:p>
    <w:p w:rsidR="00665CF0" w:rsidRPr="004E0869" w:rsidRDefault="008E3F1D" w:rsidP="00DE6CF5">
      <w:pPr>
        <w:pStyle w:val="BodyText"/>
        <w:numPr>
          <w:ilvl w:val="0"/>
          <w:numId w:val="3"/>
        </w:numPr>
        <w:tabs>
          <w:tab w:val="left" w:pos="1350"/>
        </w:tabs>
        <w:spacing w:before="11"/>
        <w:ind w:left="1080" w:hanging="90"/>
        <w:jc w:val="both"/>
        <w:rPr>
          <w:rFonts w:ascii="IBM Plex Sans" w:hAnsi="IBM Plex Sans"/>
          <w:b/>
          <w:bCs/>
        </w:rPr>
      </w:pPr>
      <w:r w:rsidRPr="004E0869">
        <w:rPr>
          <w:rFonts w:ascii="IBM Plex Sans" w:hAnsi="IBM Plex Sans"/>
          <w:b/>
          <w:bCs/>
        </w:rPr>
        <w:t>Whom can I speak to in case of any queries /</w:t>
      </w:r>
      <w:r w:rsidRPr="004E0869">
        <w:rPr>
          <w:rFonts w:ascii="IBM Plex Sans" w:hAnsi="IBM Plex Sans"/>
          <w:b/>
          <w:bCs/>
          <w:spacing w:val="-9"/>
        </w:rPr>
        <w:t xml:space="preserve"> </w:t>
      </w:r>
      <w:r w:rsidRPr="004E0869">
        <w:rPr>
          <w:rFonts w:ascii="IBM Plex Sans" w:hAnsi="IBM Plex Sans"/>
          <w:b/>
          <w:bCs/>
        </w:rPr>
        <w:t>clarifications?</w:t>
      </w:r>
    </w:p>
    <w:p w:rsidR="00665CF0" w:rsidRPr="004E0869" w:rsidRDefault="008E3F1D" w:rsidP="00DE6CF5">
      <w:pPr>
        <w:pStyle w:val="BodyText"/>
        <w:spacing w:before="2"/>
        <w:ind w:left="1350" w:right="30"/>
        <w:jc w:val="both"/>
        <w:rPr>
          <w:rFonts w:ascii="IBM Plex Sans" w:hAnsi="IBM Plex Sans"/>
        </w:rPr>
      </w:pPr>
      <w:r w:rsidRPr="004E0869">
        <w:rPr>
          <w:rFonts w:ascii="IBM Plex Sans" w:hAnsi="IBM Plex Sans"/>
        </w:rPr>
        <w:t>You can reach the Member Service Department at 1800 266 0050</w:t>
      </w:r>
      <w:r w:rsidR="00FB1B10">
        <w:rPr>
          <w:rFonts w:ascii="IBM Plex Sans" w:hAnsi="IBM Plex Sans"/>
        </w:rPr>
        <w:t xml:space="preserve"> (option 1)</w:t>
      </w:r>
      <w:r w:rsidRPr="004E0869">
        <w:rPr>
          <w:rFonts w:ascii="IBM Plex Sans" w:hAnsi="IBM Plex Sans"/>
        </w:rPr>
        <w:t xml:space="preserve"> or email us at </w:t>
      </w:r>
      <w:hyperlink r:id="rId13">
        <w:r w:rsidRPr="004E0869">
          <w:rPr>
            <w:rFonts w:ascii="IBM Plex Sans" w:hAnsi="IBM Plex Sans"/>
            <w:color w:val="0000FF"/>
            <w:u w:val="single" w:color="0000FF"/>
          </w:rPr>
          <w:t>msm@nse.co.in</w:t>
        </w:r>
      </w:hyperlink>
    </w:p>
    <w:p w:rsidR="004E0869" w:rsidRDefault="004E0869">
      <w:pPr>
        <w:pStyle w:val="BodyText"/>
        <w:spacing w:before="2"/>
        <w:ind w:left="1350" w:right="30"/>
        <w:jc w:val="both"/>
        <w:rPr>
          <w:rFonts w:ascii="IBM Plex Sans" w:hAnsi="IBM Plex Sans"/>
        </w:rPr>
      </w:pPr>
    </w:p>
    <w:p w:rsidR="00F51171" w:rsidRDefault="00F51171">
      <w:pPr>
        <w:pStyle w:val="BodyText"/>
        <w:spacing w:before="2"/>
        <w:ind w:left="1350" w:right="30"/>
        <w:jc w:val="both"/>
        <w:rPr>
          <w:rFonts w:ascii="IBM Plex Sans" w:hAnsi="IBM Plex Sans"/>
        </w:rPr>
      </w:pPr>
    </w:p>
    <w:p w:rsidR="00F51171" w:rsidRDefault="00F51171">
      <w:pPr>
        <w:pStyle w:val="BodyText"/>
        <w:spacing w:before="2"/>
        <w:ind w:left="1350" w:right="30"/>
        <w:jc w:val="both"/>
        <w:rPr>
          <w:rFonts w:ascii="IBM Plex Sans" w:hAnsi="IBM Plex Sans"/>
        </w:rPr>
      </w:pPr>
    </w:p>
    <w:p w:rsidR="00B53BE5" w:rsidRDefault="00B53BE5">
      <w:pPr>
        <w:pStyle w:val="BodyText"/>
        <w:spacing w:before="2"/>
        <w:ind w:left="1350" w:right="30"/>
        <w:jc w:val="both"/>
        <w:rPr>
          <w:rFonts w:ascii="IBM Plex Sans" w:hAnsi="IBM Plex Sans"/>
        </w:rPr>
      </w:pPr>
    </w:p>
    <w:p w:rsidR="00B53BE5" w:rsidRDefault="00B53BE5">
      <w:pPr>
        <w:pStyle w:val="BodyText"/>
        <w:spacing w:before="2"/>
        <w:ind w:left="1350" w:right="30"/>
        <w:jc w:val="both"/>
        <w:rPr>
          <w:rFonts w:ascii="IBM Plex Sans" w:hAnsi="IBM Plex Sans"/>
        </w:rPr>
      </w:pPr>
    </w:p>
    <w:p w:rsidR="00B53BE5" w:rsidRDefault="00B53BE5">
      <w:pPr>
        <w:pStyle w:val="BodyText"/>
        <w:spacing w:before="2"/>
        <w:ind w:left="1350" w:right="30"/>
        <w:jc w:val="both"/>
        <w:rPr>
          <w:rFonts w:ascii="IBM Plex Sans" w:hAnsi="IBM Plex Sans"/>
        </w:rPr>
      </w:pPr>
    </w:p>
    <w:p w:rsidR="00B53BE5" w:rsidRDefault="00B53BE5">
      <w:pPr>
        <w:pStyle w:val="BodyText"/>
        <w:spacing w:before="2"/>
        <w:ind w:left="1350" w:right="30"/>
        <w:jc w:val="both"/>
        <w:rPr>
          <w:rFonts w:ascii="IBM Plex Sans" w:hAnsi="IBM Plex Sans"/>
        </w:rPr>
      </w:pPr>
    </w:p>
    <w:p w:rsidR="00F51171" w:rsidRPr="00226503" w:rsidRDefault="00F51171" w:rsidP="002B2016">
      <w:pPr>
        <w:pStyle w:val="NoSpacing"/>
        <w:jc w:val="center"/>
        <w:rPr>
          <w:rFonts w:ascii="IBM Plex Sans" w:hAnsi="IBM Plex Sans"/>
          <w:b/>
          <w:sz w:val="20"/>
          <w:szCs w:val="20"/>
        </w:rPr>
      </w:pPr>
      <w:r w:rsidRPr="00226503">
        <w:rPr>
          <w:rFonts w:ascii="IBM Plex Sans" w:hAnsi="IBM Plex Sans"/>
          <w:b/>
          <w:sz w:val="20"/>
          <w:szCs w:val="20"/>
        </w:rPr>
        <w:t>Annexure 1</w:t>
      </w:r>
    </w:p>
    <w:p w:rsidR="00F51171" w:rsidRPr="00226503" w:rsidRDefault="004340C3" w:rsidP="002B2016">
      <w:pPr>
        <w:pStyle w:val="NoSpacing"/>
        <w:ind w:firstLine="540"/>
        <w:jc w:val="center"/>
        <w:rPr>
          <w:rFonts w:ascii="IBM Plex Sans" w:hAnsi="IBM Plex Sans"/>
          <w:b/>
          <w:sz w:val="20"/>
          <w:szCs w:val="20"/>
        </w:rPr>
      </w:pPr>
      <w:r>
        <w:rPr>
          <w:noProof/>
        </w:rPr>
        <mc:AlternateContent>
          <mc:Choice Requires="wps">
            <w:drawing>
              <wp:anchor distT="0" distB="0" distL="114300" distR="114300" simplePos="0" relativeHeight="251702272" behindDoc="0" locked="0" layoutInCell="1" allowOverlap="1" wp14:anchorId="060176E9" wp14:editId="7BA62EEA">
                <wp:simplePos x="0" y="0"/>
                <wp:positionH relativeFrom="column">
                  <wp:posOffset>200025</wp:posOffset>
                </wp:positionH>
                <wp:positionV relativeFrom="paragraph">
                  <wp:posOffset>78740</wp:posOffset>
                </wp:positionV>
                <wp:extent cx="6388412" cy="432779"/>
                <wp:effectExtent l="0" t="0" r="12700" b="24765"/>
                <wp:wrapNone/>
                <wp:docPr id="1613012593" name="Rounded Rectangle 24"/>
                <wp:cNvGraphicFramePr/>
                <a:graphic xmlns:a="http://schemas.openxmlformats.org/drawingml/2006/main">
                  <a:graphicData uri="http://schemas.microsoft.com/office/word/2010/wordprocessingShape">
                    <wps:wsp>
                      <wps:cNvSpPr/>
                      <wps:spPr>
                        <a:xfrm>
                          <a:off x="0" y="0"/>
                          <a:ext cx="6388412" cy="432779"/>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4340C3" w:rsidRPr="008F45F5" w:rsidRDefault="004340C3" w:rsidP="004340C3">
                            <w:pPr>
                              <w:pStyle w:val="NoSpacing"/>
                              <w:jc w:val="center"/>
                              <w:rPr>
                                <w:rFonts w:ascii="IBM Plex Sans" w:hAnsi="IBM Plex Sans"/>
                                <w:b/>
                              </w:rPr>
                            </w:pPr>
                            <w:r>
                              <w:rPr>
                                <w:rFonts w:ascii="IBM Plex Sans" w:hAnsi="IBM Plex Sans"/>
                                <w:b/>
                              </w:rPr>
                              <w:t xml:space="preserve">NNF software </w:t>
                            </w:r>
                            <w:r w:rsidRPr="008F45F5">
                              <w:rPr>
                                <w:rFonts w:ascii="IBM Plex Sans" w:hAnsi="IBM Plex Sans"/>
                                <w:b/>
                              </w:rPr>
                              <w:t>regis</w:t>
                            </w:r>
                            <w:r>
                              <w:rPr>
                                <w:rFonts w:ascii="IBM Plex Sans" w:hAnsi="IBM Plex Sans"/>
                                <w:b/>
                              </w:rPr>
                              <w:t>tration</w:t>
                            </w:r>
                            <w:r w:rsidRPr="008F45F5">
                              <w:rPr>
                                <w:rFonts w:ascii="IBM Plex Sans" w:hAnsi="IBM Plex Sans"/>
                                <w:b/>
                              </w:rPr>
                              <w:t xml:space="preserve"> from Empanelled Vendor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176E9" id="Rounded Rectangle 24" o:spid="_x0000_s1026" style="position:absolute;left:0;text-align:left;margin-left:15.75pt;margin-top:6.2pt;width:503pt;height:3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" fillcolor="white [3201]" strokecolor="black [3200]" strokeweight="1pt">
                <v:textbox>
                  <w:txbxContent>
                    <w:p w:rsidR="004340C3" w:rsidRPr="008F45F5" w:rsidRDefault="004340C3" w:rsidP="004340C3">
                      <w:pPr>
                        <w:pStyle w:val="NoSpacing"/>
                        <w:jc w:val="center"/>
                        <w:rPr>
                          <w:rFonts w:ascii="IBM Plex Sans" w:hAnsi="IBM Plex Sans"/>
                          <w:b/>
                        </w:rPr>
                      </w:pPr>
                      <w:r>
                        <w:rPr>
                          <w:rFonts w:ascii="IBM Plex Sans" w:hAnsi="IBM Plex Sans"/>
                          <w:b/>
                        </w:rPr>
                        <w:t xml:space="preserve">NNF software </w:t>
                      </w:r>
                      <w:r w:rsidRPr="008F45F5">
                        <w:rPr>
                          <w:rFonts w:ascii="IBM Plex Sans" w:hAnsi="IBM Plex Sans"/>
                          <w:b/>
                        </w:rPr>
                        <w:t>regis</w:t>
                      </w:r>
                      <w:r>
                        <w:rPr>
                          <w:rFonts w:ascii="IBM Plex Sans" w:hAnsi="IBM Plex Sans"/>
                          <w:b/>
                        </w:rPr>
                        <w:t>tration</w:t>
                      </w:r>
                      <w:r w:rsidRPr="008F45F5">
                        <w:rPr>
                          <w:rFonts w:ascii="IBM Plex Sans" w:hAnsi="IBM Plex Sans"/>
                          <w:b/>
                        </w:rPr>
                        <w:t xml:space="preserve"> from Empanelled Vendor</w:t>
                      </w:r>
                    </w:p>
                  </w:txbxContent>
                </v:textbox>
              </v:roundrect>
            </w:pict>
          </mc:Fallback>
        </mc:AlternateContent>
      </w:r>
    </w:p>
    <w:p w:rsidR="00F51171" w:rsidRDefault="00F51171" w:rsidP="00465B0F">
      <w:pPr>
        <w:pStyle w:val="NoSpacing"/>
        <w:rPr>
          <w:rFonts w:ascii="IBM Plex Sans" w:hAnsi="IBM Plex Sans"/>
          <w:b/>
          <w:sz w:val="20"/>
          <w:szCs w:val="20"/>
        </w:rPr>
      </w:pPr>
    </w:p>
    <w:p w:rsidR="00465B0F" w:rsidRDefault="00465B0F" w:rsidP="00465B0F">
      <w:pPr>
        <w:pStyle w:val="Default"/>
      </w:pPr>
    </w:p>
    <w:p w:rsidR="004340C3" w:rsidRDefault="004340C3" w:rsidP="00465B0F">
      <w:pPr>
        <w:pStyle w:val="Default"/>
        <w:rPr>
          <w:sz w:val="20"/>
          <w:szCs w:val="20"/>
        </w:rPr>
      </w:pPr>
    </w:p>
    <w:p w:rsidR="00465B0F" w:rsidRPr="00F10C71" w:rsidRDefault="00465B0F" w:rsidP="00F10C71">
      <w:pPr>
        <w:pStyle w:val="Default"/>
        <w:ind w:left="720"/>
        <w:jc w:val="both"/>
        <w:rPr>
          <w:sz w:val="22"/>
          <w:szCs w:val="22"/>
        </w:rPr>
      </w:pPr>
      <w:r w:rsidRPr="00F10C71">
        <w:rPr>
          <w:sz w:val="22"/>
          <w:szCs w:val="22"/>
        </w:rPr>
        <w:t xml:space="preserve">Members seeking registration for new software/systems of CTCL, AT, IBT, STWT or DMA are required to submit following documents through the online portal ENIT. For SOR, member is required to submit the application in physical form - along with below mentioned documents: </w:t>
      </w:r>
    </w:p>
    <w:p w:rsidR="00465B0F" w:rsidRPr="00F10C71" w:rsidRDefault="00465B0F" w:rsidP="00F10C71">
      <w:pPr>
        <w:pStyle w:val="Default"/>
        <w:ind w:left="720"/>
        <w:jc w:val="both"/>
        <w:rPr>
          <w:sz w:val="22"/>
          <w:szCs w:val="22"/>
        </w:rPr>
      </w:pPr>
    </w:p>
    <w:p w:rsidR="00465B0F" w:rsidRPr="00F10C71" w:rsidRDefault="00465B0F" w:rsidP="00F10C71">
      <w:pPr>
        <w:pStyle w:val="Default"/>
        <w:numPr>
          <w:ilvl w:val="0"/>
          <w:numId w:val="29"/>
        </w:numPr>
        <w:jc w:val="both"/>
        <w:rPr>
          <w:sz w:val="22"/>
          <w:szCs w:val="22"/>
        </w:rPr>
      </w:pPr>
      <w:r w:rsidRPr="00F10C71">
        <w:rPr>
          <w:sz w:val="22"/>
          <w:szCs w:val="22"/>
        </w:rPr>
        <w:t xml:space="preserve">Auditor report - Member shall submit - system audit report in the prescribed format </w:t>
      </w:r>
      <w:r w:rsidRPr="00F10C71">
        <w:rPr>
          <w:b/>
          <w:bCs/>
          <w:sz w:val="22"/>
          <w:szCs w:val="22"/>
        </w:rPr>
        <w:t xml:space="preserve">Annexure II. </w:t>
      </w:r>
      <w:r w:rsidRPr="00F10C71">
        <w:rPr>
          <w:sz w:val="22"/>
          <w:szCs w:val="22"/>
        </w:rPr>
        <w:t xml:space="preserve">In this report, the system auditor shall cover the following areas of audit and submit the findings: </w:t>
      </w:r>
    </w:p>
    <w:p w:rsidR="00465B0F" w:rsidRPr="00F10C71" w:rsidRDefault="00465B0F" w:rsidP="00F10C71">
      <w:pPr>
        <w:pStyle w:val="Default"/>
        <w:jc w:val="both"/>
        <w:rPr>
          <w:sz w:val="22"/>
          <w:szCs w:val="22"/>
        </w:rPr>
      </w:pPr>
    </w:p>
    <w:p w:rsidR="00465B0F" w:rsidRPr="00F10C71" w:rsidRDefault="00465B0F" w:rsidP="00F10C71">
      <w:pPr>
        <w:pStyle w:val="Default"/>
        <w:numPr>
          <w:ilvl w:val="0"/>
          <w:numId w:val="25"/>
        </w:numPr>
        <w:spacing w:after="29"/>
        <w:jc w:val="both"/>
        <w:rPr>
          <w:sz w:val="22"/>
          <w:szCs w:val="22"/>
        </w:rPr>
      </w:pPr>
      <w:r w:rsidRPr="00F10C71">
        <w:rPr>
          <w:sz w:val="22"/>
          <w:szCs w:val="22"/>
        </w:rPr>
        <w:t xml:space="preserve">Risk Management </w:t>
      </w:r>
    </w:p>
    <w:p w:rsidR="00465B0F" w:rsidRPr="00F10C71" w:rsidRDefault="00465B0F" w:rsidP="00F10C71">
      <w:pPr>
        <w:pStyle w:val="Default"/>
        <w:numPr>
          <w:ilvl w:val="0"/>
          <w:numId w:val="25"/>
        </w:numPr>
        <w:spacing w:after="29"/>
        <w:jc w:val="both"/>
        <w:rPr>
          <w:sz w:val="22"/>
          <w:szCs w:val="22"/>
        </w:rPr>
      </w:pPr>
      <w:r w:rsidRPr="00F10C71">
        <w:rPr>
          <w:sz w:val="22"/>
          <w:szCs w:val="22"/>
        </w:rPr>
        <w:t xml:space="preserve">Security Policy and implementation </w:t>
      </w:r>
    </w:p>
    <w:p w:rsidR="004340C3" w:rsidRPr="00F10C71" w:rsidRDefault="00465B0F" w:rsidP="00F10C71">
      <w:pPr>
        <w:pStyle w:val="Default"/>
        <w:numPr>
          <w:ilvl w:val="0"/>
          <w:numId w:val="25"/>
        </w:numPr>
        <w:spacing w:after="29"/>
        <w:jc w:val="both"/>
        <w:rPr>
          <w:sz w:val="22"/>
          <w:szCs w:val="22"/>
        </w:rPr>
      </w:pPr>
      <w:r w:rsidRPr="00F10C71">
        <w:rPr>
          <w:sz w:val="22"/>
          <w:szCs w:val="22"/>
        </w:rPr>
        <w:t xml:space="preserve">Capacity Management </w:t>
      </w:r>
    </w:p>
    <w:p w:rsidR="00465B0F" w:rsidRPr="00F10C71" w:rsidRDefault="00465B0F" w:rsidP="00F10C71">
      <w:pPr>
        <w:pStyle w:val="Default"/>
        <w:numPr>
          <w:ilvl w:val="0"/>
          <w:numId w:val="25"/>
        </w:numPr>
        <w:spacing w:after="29"/>
        <w:jc w:val="both"/>
        <w:rPr>
          <w:sz w:val="22"/>
          <w:szCs w:val="22"/>
        </w:rPr>
      </w:pPr>
      <w:r w:rsidRPr="00F10C71">
        <w:rPr>
          <w:sz w:val="22"/>
          <w:szCs w:val="22"/>
        </w:rPr>
        <w:t xml:space="preserve">Disaster Recovery and Backups </w:t>
      </w:r>
    </w:p>
    <w:p w:rsidR="00465B0F" w:rsidRPr="00F10C71" w:rsidRDefault="00465B0F" w:rsidP="00F10C71">
      <w:pPr>
        <w:pStyle w:val="Default"/>
        <w:numPr>
          <w:ilvl w:val="0"/>
          <w:numId w:val="25"/>
        </w:numPr>
        <w:jc w:val="both"/>
        <w:rPr>
          <w:sz w:val="22"/>
          <w:szCs w:val="22"/>
        </w:rPr>
      </w:pPr>
      <w:r w:rsidRPr="00F10C71">
        <w:rPr>
          <w:sz w:val="22"/>
          <w:szCs w:val="22"/>
        </w:rPr>
        <w:t xml:space="preserve">Vulnerability Test </w:t>
      </w:r>
    </w:p>
    <w:p w:rsidR="00465B0F" w:rsidRPr="00F10C71" w:rsidRDefault="00465B0F" w:rsidP="00F10C71">
      <w:pPr>
        <w:pStyle w:val="NoSpacing"/>
        <w:jc w:val="both"/>
        <w:rPr>
          <w:rFonts w:ascii="IBM Plex Sans" w:hAnsi="IBM Plex Sans"/>
          <w:b/>
        </w:rPr>
      </w:pPr>
    </w:p>
    <w:p w:rsidR="00465B0F" w:rsidRPr="00F10C71" w:rsidRDefault="00465B0F" w:rsidP="00F10C71">
      <w:pPr>
        <w:pStyle w:val="Default"/>
        <w:numPr>
          <w:ilvl w:val="0"/>
          <w:numId w:val="29"/>
        </w:numPr>
        <w:jc w:val="both"/>
        <w:rPr>
          <w:sz w:val="22"/>
          <w:szCs w:val="22"/>
        </w:rPr>
      </w:pPr>
      <w:r w:rsidRPr="00F10C71">
        <w:rPr>
          <w:sz w:val="22"/>
          <w:szCs w:val="22"/>
        </w:rPr>
        <w:t xml:space="preserve">Auditor’s certificate -In the auditor certificate, the auditor shall inter alia certify satisfactory test undertaken in User Acceptance Test (UAT) at Member end, Exchange Test Environment and Mock Testing or Simulated (as applicable). The format is attached as Annexure III. </w:t>
      </w:r>
    </w:p>
    <w:p w:rsidR="00465B0F" w:rsidRPr="00F10C71" w:rsidRDefault="00465B0F" w:rsidP="00F10C71">
      <w:pPr>
        <w:pStyle w:val="Default"/>
        <w:jc w:val="both"/>
        <w:rPr>
          <w:sz w:val="22"/>
          <w:szCs w:val="22"/>
        </w:rPr>
      </w:pPr>
    </w:p>
    <w:p w:rsidR="00465B0F" w:rsidRPr="00F10C71" w:rsidRDefault="00465B0F" w:rsidP="00F10C71">
      <w:pPr>
        <w:pStyle w:val="Default"/>
        <w:numPr>
          <w:ilvl w:val="0"/>
          <w:numId w:val="29"/>
        </w:numPr>
        <w:jc w:val="both"/>
        <w:rPr>
          <w:sz w:val="22"/>
          <w:szCs w:val="22"/>
        </w:rPr>
      </w:pPr>
      <w:r w:rsidRPr="00F10C71">
        <w:rPr>
          <w:sz w:val="22"/>
          <w:szCs w:val="22"/>
        </w:rPr>
        <w:t xml:space="preserve">Vendor confirmation letter </w:t>
      </w:r>
      <w:r w:rsidRPr="00F10C71">
        <w:rPr>
          <w:b/>
          <w:bCs/>
          <w:sz w:val="22"/>
          <w:szCs w:val="22"/>
        </w:rPr>
        <w:t xml:space="preserve">Annexure V </w:t>
      </w:r>
      <w:r w:rsidRPr="00F10C71">
        <w:rPr>
          <w:sz w:val="22"/>
          <w:szCs w:val="22"/>
        </w:rPr>
        <w:t>to be provided (</w:t>
      </w:r>
      <w:r w:rsidRPr="00F10C71">
        <w:rPr>
          <w:b/>
          <w:bCs/>
          <w:i/>
          <w:iCs/>
          <w:sz w:val="22"/>
          <w:szCs w:val="22"/>
        </w:rPr>
        <w:t>only in case of AT</w:t>
      </w:r>
      <w:r w:rsidRPr="00F10C71">
        <w:rPr>
          <w:sz w:val="22"/>
          <w:szCs w:val="22"/>
        </w:rPr>
        <w:t xml:space="preserve">) </w:t>
      </w:r>
    </w:p>
    <w:p w:rsidR="00F10C71" w:rsidRPr="00F10C71" w:rsidRDefault="00F10C71" w:rsidP="00F10C71">
      <w:pPr>
        <w:pStyle w:val="ListParagraph"/>
      </w:pPr>
    </w:p>
    <w:p w:rsidR="00F10C71" w:rsidRPr="00F10C71" w:rsidRDefault="00F10C71" w:rsidP="00F10C71">
      <w:pPr>
        <w:pStyle w:val="Default"/>
        <w:numPr>
          <w:ilvl w:val="0"/>
          <w:numId w:val="29"/>
        </w:numPr>
        <w:jc w:val="both"/>
        <w:rPr>
          <w:sz w:val="22"/>
          <w:szCs w:val="22"/>
        </w:rPr>
      </w:pPr>
      <w:r w:rsidRPr="00F10C71">
        <w:rPr>
          <w:sz w:val="22"/>
          <w:szCs w:val="22"/>
        </w:rPr>
        <w:t xml:space="preserve">Additionally for </w:t>
      </w:r>
      <w:r w:rsidRPr="00F10C71">
        <w:rPr>
          <w:b/>
          <w:bCs/>
          <w:sz w:val="22"/>
          <w:szCs w:val="22"/>
        </w:rPr>
        <w:t>In-House registration</w:t>
      </w:r>
      <w:r w:rsidRPr="00F10C71">
        <w:rPr>
          <w:sz w:val="22"/>
          <w:szCs w:val="22"/>
        </w:rPr>
        <w:t xml:space="preserve">, Product write-up including write up on Risk Management Systems is required. </w:t>
      </w:r>
    </w:p>
    <w:p w:rsidR="00F51171" w:rsidRDefault="00F51171" w:rsidP="00F10C71">
      <w:pPr>
        <w:rPr>
          <w:rFonts w:ascii="IBM Plex Sans" w:hAnsi="IBM Plex Sans"/>
        </w:rPr>
      </w:pPr>
      <w:r>
        <w:rPr>
          <w:noProof/>
        </w:rPr>
        <mc:AlternateContent>
          <mc:Choice Requires="wps">
            <w:drawing>
              <wp:anchor distT="0" distB="0" distL="114300" distR="114300" simplePos="0" relativeHeight="251672576" behindDoc="0" locked="0" layoutInCell="1" allowOverlap="1" wp14:anchorId="1BA690C1" wp14:editId="370B6C0B">
                <wp:simplePos x="0" y="0"/>
                <wp:positionH relativeFrom="column">
                  <wp:posOffset>7633335</wp:posOffset>
                </wp:positionH>
                <wp:positionV relativeFrom="paragraph">
                  <wp:posOffset>782955</wp:posOffset>
                </wp:positionV>
                <wp:extent cx="372110" cy="638175"/>
                <wp:effectExtent l="19050" t="0" r="27940" b="47625"/>
                <wp:wrapNone/>
                <wp:docPr id="19" name="Down Arrow 19"/>
                <wp:cNvGraphicFramePr/>
                <a:graphic xmlns:a="http://schemas.openxmlformats.org/drawingml/2006/main">
                  <a:graphicData uri="http://schemas.microsoft.com/office/word/2010/wordprocessingShape">
                    <wps:wsp>
                      <wps:cNvSpPr/>
                      <wps:spPr>
                        <a:xfrm>
                          <a:off x="0" y="0"/>
                          <a:ext cx="372110" cy="6381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5DD1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601.05pt;margin-top:61.65pt;width:29.3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" adj="15303" fillcolor="white [3201]" strokecolor="black [3200]" strokeweight="2pt"/>
            </w:pict>
          </mc:Fallback>
        </mc:AlternateContent>
      </w:r>
    </w:p>
    <w:p w:rsidR="00F51171" w:rsidRDefault="00F51171">
      <w:pPr>
        <w:pStyle w:val="BodyText"/>
        <w:spacing w:before="2"/>
        <w:ind w:left="1350" w:right="30"/>
        <w:jc w:val="both"/>
        <w:rPr>
          <w:rFonts w:ascii="IBM Plex Sans" w:hAnsi="IBM Plex Sans"/>
        </w:rPr>
      </w:pPr>
    </w:p>
    <w:p w:rsidR="00F51171" w:rsidRPr="00F10C71" w:rsidRDefault="00F51171" w:rsidP="00F10C71">
      <w:pPr>
        <w:pStyle w:val="BodyText"/>
        <w:spacing w:before="2"/>
        <w:ind w:left="360" w:right="30"/>
        <w:jc w:val="both"/>
        <w:rPr>
          <w:rFonts w:ascii="IBM Plex Sans" w:eastAsiaTheme="minorHAnsi" w:hAnsi="IBM Plex Sans" w:cs="IBM Plex Sans"/>
          <w:b/>
          <w:bCs/>
          <w:color w:val="000000"/>
          <w:lang w:val="en-IN"/>
        </w:rPr>
      </w:pPr>
      <w:r w:rsidRPr="00F10C71">
        <w:rPr>
          <w:rFonts w:ascii="IBM Plex Sans" w:eastAsiaTheme="minorHAnsi" w:hAnsi="IBM Plex Sans" w:cs="IBM Plex Sans"/>
          <w:b/>
          <w:bCs/>
          <w:color w:val="000000"/>
          <w:lang w:val="en-IN"/>
        </w:rPr>
        <w:t>Note:</w:t>
      </w:r>
    </w:p>
    <w:p w:rsidR="00F51171" w:rsidRPr="00F10C71" w:rsidRDefault="00F51171" w:rsidP="00F10C71">
      <w:pPr>
        <w:pStyle w:val="BodyText"/>
        <w:spacing w:before="2"/>
        <w:ind w:left="360" w:right="30"/>
        <w:jc w:val="both"/>
        <w:rPr>
          <w:rFonts w:ascii="IBM Plex Sans" w:eastAsiaTheme="minorHAnsi" w:hAnsi="IBM Plex Sans" w:cs="IBM Plex Sans"/>
          <w:color w:val="000000"/>
          <w:lang w:val="en-IN"/>
        </w:rPr>
      </w:pPr>
      <w:r w:rsidRPr="00F10C71">
        <w:rPr>
          <w:rFonts w:ascii="IBM Plex Sans" w:eastAsiaTheme="minorHAnsi" w:hAnsi="IBM Plex Sans" w:cs="IBM Plex Sans"/>
          <w:color w:val="000000"/>
          <w:lang w:val="en-IN"/>
        </w:rPr>
        <w:t xml:space="preserve">Common Undertaking – Annexure I, needs to be submitted only once. If Common Undertaking – Annexure I is submitted while registration with Empanelled </w:t>
      </w:r>
      <w:proofErr w:type="gramStart"/>
      <w:r w:rsidRPr="00F10C71">
        <w:rPr>
          <w:rFonts w:ascii="IBM Plex Sans" w:eastAsiaTheme="minorHAnsi" w:hAnsi="IBM Plex Sans" w:cs="IBM Plex Sans"/>
          <w:color w:val="000000"/>
          <w:lang w:val="en-IN"/>
        </w:rPr>
        <w:t>Vendor</w:t>
      </w:r>
      <w:proofErr w:type="gramEnd"/>
      <w:r w:rsidRPr="00F10C71">
        <w:rPr>
          <w:rFonts w:ascii="IBM Plex Sans" w:eastAsiaTheme="minorHAnsi" w:hAnsi="IBM Plex Sans" w:cs="IBM Plex Sans"/>
          <w:color w:val="000000"/>
          <w:lang w:val="en-IN"/>
        </w:rPr>
        <w:t xml:space="preserve"> then the same is not required to be submitted at the time of In-House/ASP Software registration and vice versa.</w:t>
      </w:r>
    </w:p>
    <w:p w:rsidR="00F51171" w:rsidRPr="00320B35" w:rsidRDefault="00F51171" w:rsidP="00F51171">
      <w:pPr>
        <w:pStyle w:val="NoSpacing"/>
        <w:ind w:left="360"/>
        <w:rPr>
          <w:rFonts w:ascii="IBM Plex Sans" w:hAnsi="IBM Plex Sans"/>
          <w:sz w:val="20"/>
          <w:szCs w:val="20"/>
        </w:rPr>
      </w:pPr>
    </w:p>
    <w:p w:rsidR="00F51171" w:rsidRPr="00320B35" w:rsidRDefault="00F51171" w:rsidP="00F51171">
      <w:pPr>
        <w:pStyle w:val="NoSpacing"/>
        <w:ind w:left="360"/>
        <w:rPr>
          <w:rFonts w:ascii="IBM Plex Sans" w:hAnsi="IBM Plex Sans"/>
          <w:sz w:val="20"/>
          <w:szCs w:val="20"/>
        </w:rPr>
      </w:pPr>
    </w:p>
    <w:p w:rsidR="00F51171" w:rsidRDefault="00F51171">
      <w:pPr>
        <w:pStyle w:val="BodyText"/>
        <w:spacing w:before="2"/>
        <w:ind w:left="1350" w:right="30"/>
        <w:jc w:val="both"/>
        <w:rPr>
          <w:rFonts w:ascii="IBM Plex Sans" w:hAnsi="IBM Plex Sans"/>
        </w:rPr>
      </w:pPr>
    </w:p>
    <w:p w:rsidR="002B2016" w:rsidRDefault="002B2016">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2B2016" w:rsidRDefault="002B2016">
      <w:pPr>
        <w:pStyle w:val="BodyText"/>
        <w:spacing w:before="2"/>
        <w:ind w:left="1350" w:right="30"/>
        <w:jc w:val="both"/>
        <w:rPr>
          <w:rFonts w:ascii="IBM Plex Sans" w:hAnsi="IBM Plex Sans"/>
        </w:rPr>
      </w:pPr>
    </w:p>
    <w:p w:rsidR="002B2016" w:rsidRDefault="002B2016">
      <w:pPr>
        <w:pStyle w:val="BodyText"/>
        <w:spacing w:before="2"/>
        <w:ind w:left="1350" w:right="30"/>
        <w:jc w:val="both"/>
        <w:rPr>
          <w:rFonts w:ascii="IBM Plex Sans" w:hAnsi="IBM Plex Sans"/>
        </w:rPr>
      </w:pPr>
    </w:p>
    <w:p w:rsidR="00F10C71" w:rsidRDefault="00F10C71">
      <w:pPr>
        <w:pStyle w:val="BodyText"/>
        <w:spacing w:before="2"/>
        <w:ind w:left="1350" w:right="30"/>
        <w:jc w:val="both"/>
        <w:rPr>
          <w:rFonts w:ascii="IBM Plex Sans" w:hAnsi="IBM Plex Sans"/>
        </w:rPr>
      </w:pPr>
    </w:p>
    <w:p w:rsidR="002B2016" w:rsidRDefault="002B2016">
      <w:pPr>
        <w:pStyle w:val="BodyText"/>
        <w:spacing w:before="2"/>
        <w:ind w:left="1350" w:right="30"/>
        <w:jc w:val="both"/>
        <w:rPr>
          <w:rFonts w:ascii="IBM Plex Sans" w:hAnsi="IBM Plex Sans"/>
        </w:rPr>
      </w:pPr>
    </w:p>
    <w:p w:rsidR="002B2016" w:rsidRDefault="002B2016" w:rsidP="00465B0F">
      <w:pPr>
        <w:pStyle w:val="BodyText"/>
        <w:spacing w:before="2"/>
        <w:ind w:left="1350" w:right="30"/>
        <w:rPr>
          <w:rFonts w:ascii="IBM Plex Sans" w:hAnsi="IBM Plex Sans"/>
        </w:rPr>
      </w:pPr>
      <w:r>
        <w:rPr>
          <w:noProof/>
        </w:rPr>
        <mc:AlternateContent>
          <mc:Choice Requires="wps">
            <w:drawing>
              <wp:anchor distT="0" distB="0" distL="114300" distR="114300" simplePos="0" relativeHeight="251698176" behindDoc="0" locked="0" layoutInCell="1" allowOverlap="1" wp14:anchorId="304A7D63" wp14:editId="1419B245">
                <wp:simplePos x="0" y="0"/>
                <wp:positionH relativeFrom="column">
                  <wp:posOffset>327716</wp:posOffset>
                </wp:positionH>
                <wp:positionV relativeFrom="paragraph">
                  <wp:posOffset>48649</wp:posOffset>
                </wp:positionV>
                <wp:extent cx="6388412" cy="432779"/>
                <wp:effectExtent l="0" t="0" r="12700" b="24765"/>
                <wp:wrapNone/>
                <wp:docPr id="24" name="Rounded Rectangle 24"/>
                <wp:cNvGraphicFramePr/>
                <a:graphic xmlns:a="http://schemas.openxmlformats.org/drawingml/2006/main">
                  <a:graphicData uri="http://schemas.microsoft.com/office/word/2010/wordprocessingShape">
                    <wps:wsp>
                      <wps:cNvSpPr/>
                      <wps:spPr>
                        <a:xfrm>
                          <a:off x="0" y="0"/>
                          <a:ext cx="6388412" cy="432779"/>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2B2016" w:rsidRPr="008F45F5" w:rsidRDefault="002B2016" w:rsidP="002B2016">
                            <w:pPr>
                              <w:pStyle w:val="NoSpacing"/>
                              <w:jc w:val="center"/>
                              <w:rPr>
                                <w:rFonts w:ascii="IBM Plex Sans" w:hAnsi="IBM Plex Sans"/>
                                <w:b/>
                              </w:rPr>
                            </w:pPr>
                            <w:r w:rsidRPr="008F45F5">
                              <w:rPr>
                                <w:rFonts w:ascii="IBM Plex Sans" w:hAnsi="IBM Plex Sans"/>
                                <w:b/>
                              </w:rPr>
                              <w:t>Modification of already registered software from Empanelled Vendor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A7D63" id="_x0000_s1027" style="position:absolute;left:0;text-align:left;margin-left:25.8pt;margin-top:3.85pt;width:503pt;height:3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" fillcolor="white [3201]" strokecolor="black [3200]" strokeweight="1pt">
                <v:textbox>
                  <w:txbxContent>
                    <w:p w:rsidR="002B2016" w:rsidRPr="008F45F5" w:rsidRDefault="002B2016" w:rsidP="002B2016">
                      <w:pPr>
                        <w:pStyle w:val="NoSpacing"/>
                        <w:jc w:val="center"/>
                        <w:rPr>
                          <w:rFonts w:ascii="IBM Plex Sans" w:hAnsi="IBM Plex Sans"/>
                          <w:b/>
                        </w:rPr>
                      </w:pPr>
                      <w:r w:rsidRPr="008F45F5">
                        <w:rPr>
                          <w:rFonts w:ascii="IBM Plex Sans" w:hAnsi="IBM Plex Sans"/>
                          <w:b/>
                        </w:rPr>
                        <w:t>Modification of already registered software from Empanelled Vendor</w:t>
                      </w:r>
                    </w:p>
                  </w:txbxContent>
                </v:textbox>
              </v:roundrect>
            </w:pict>
          </mc:Fallback>
        </mc:AlternateContent>
      </w:r>
    </w:p>
    <w:p w:rsidR="00465B0F" w:rsidRPr="00465B0F" w:rsidRDefault="00465B0F" w:rsidP="00465B0F"/>
    <w:p w:rsidR="00465B0F" w:rsidRPr="00465B0F" w:rsidRDefault="00465B0F" w:rsidP="00465B0F"/>
    <w:p w:rsidR="00465B0F" w:rsidRPr="00465B0F" w:rsidRDefault="00465B0F" w:rsidP="00465B0F"/>
    <w:p w:rsidR="00465B0F" w:rsidRPr="00F10C71" w:rsidRDefault="00465B0F" w:rsidP="00465B0F">
      <w:pPr>
        <w:pStyle w:val="Default"/>
        <w:ind w:left="720"/>
        <w:jc w:val="both"/>
        <w:rPr>
          <w:sz w:val="22"/>
          <w:szCs w:val="22"/>
        </w:rPr>
      </w:pPr>
      <w:r w:rsidRPr="00F10C71">
        <w:rPr>
          <w:sz w:val="22"/>
          <w:szCs w:val="22"/>
        </w:rPr>
        <w:t xml:space="preserve">Members seeking registration for modified software/systems of CTCL, AT, IBT, STWT or DMA shall provide the following documents through the online portal ENIT. For SOR, member is required to submit the application in physical form - along with below mentioned documents: </w:t>
      </w:r>
    </w:p>
    <w:p w:rsidR="00465B0F" w:rsidRPr="00F10C71" w:rsidRDefault="00465B0F" w:rsidP="00465B0F">
      <w:pPr>
        <w:pStyle w:val="Default"/>
        <w:rPr>
          <w:sz w:val="22"/>
          <w:szCs w:val="22"/>
        </w:rPr>
      </w:pPr>
    </w:p>
    <w:tbl>
      <w:tblPr>
        <w:tblStyle w:val="TableGrid"/>
        <w:tblW w:w="10703" w:type="dxa"/>
        <w:tblInd w:w="5" w:type="dxa"/>
        <w:tblLayout w:type="fixed"/>
        <w:tblLook w:val="04A0" w:firstRow="1" w:lastRow="0" w:firstColumn="1" w:lastColumn="0" w:noHBand="0" w:noVBand="1"/>
      </w:tblPr>
      <w:tblGrid>
        <w:gridCol w:w="983"/>
        <w:gridCol w:w="4357"/>
        <w:gridCol w:w="5363"/>
      </w:tblGrid>
      <w:tr w:rsidR="00465B0F" w:rsidRPr="00F10C71" w:rsidTr="00192D3E">
        <w:trPr>
          <w:trHeight w:val="99"/>
        </w:trPr>
        <w:tc>
          <w:tcPr>
            <w:tcW w:w="983" w:type="dxa"/>
          </w:tcPr>
          <w:p w:rsidR="00465B0F" w:rsidRPr="00F10C71" w:rsidRDefault="00465B0F" w:rsidP="00192D3E">
            <w:pPr>
              <w:pStyle w:val="Default"/>
              <w:jc w:val="center"/>
              <w:rPr>
                <w:sz w:val="22"/>
                <w:szCs w:val="22"/>
              </w:rPr>
            </w:pPr>
            <w:bookmarkStart w:id="0" w:name="_Hlk173512025"/>
            <w:r w:rsidRPr="00F10C71">
              <w:rPr>
                <w:b/>
                <w:bCs/>
                <w:sz w:val="22"/>
                <w:szCs w:val="22"/>
              </w:rPr>
              <w:t>Sr.No.</w:t>
            </w:r>
          </w:p>
        </w:tc>
        <w:tc>
          <w:tcPr>
            <w:tcW w:w="4357" w:type="dxa"/>
          </w:tcPr>
          <w:p w:rsidR="00465B0F" w:rsidRPr="00F10C71" w:rsidRDefault="00465B0F" w:rsidP="00192D3E">
            <w:pPr>
              <w:pStyle w:val="Default"/>
              <w:jc w:val="center"/>
              <w:rPr>
                <w:sz w:val="22"/>
                <w:szCs w:val="22"/>
              </w:rPr>
            </w:pPr>
            <w:r w:rsidRPr="00F10C71">
              <w:rPr>
                <w:b/>
                <w:bCs/>
                <w:sz w:val="22"/>
                <w:szCs w:val="22"/>
              </w:rPr>
              <w:t>Request Type</w:t>
            </w:r>
          </w:p>
        </w:tc>
        <w:tc>
          <w:tcPr>
            <w:tcW w:w="5363" w:type="dxa"/>
          </w:tcPr>
          <w:p w:rsidR="00465B0F" w:rsidRPr="00F10C71" w:rsidRDefault="00465B0F" w:rsidP="00192D3E">
            <w:pPr>
              <w:pStyle w:val="Default"/>
              <w:jc w:val="center"/>
              <w:rPr>
                <w:sz w:val="22"/>
                <w:szCs w:val="22"/>
              </w:rPr>
            </w:pPr>
            <w:r w:rsidRPr="00F10C71">
              <w:rPr>
                <w:b/>
                <w:bCs/>
                <w:sz w:val="22"/>
                <w:szCs w:val="22"/>
              </w:rPr>
              <w:t>Documents</w:t>
            </w:r>
          </w:p>
        </w:tc>
      </w:tr>
      <w:tr w:rsidR="00465B0F" w:rsidRPr="00F10C71" w:rsidTr="00192D3E">
        <w:trPr>
          <w:trHeight w:val="1397"/>
        </w:trPr>
        <w:tc>
          <w:tcPr>
            <w:tcW w:w="983" w:type="dxa"/>
          </w:tcPr>
          <w:p w:rsidR="00465B0F" w:rsidRPr="00F10C71" w:rsidRDefault="00465B0F" w:rsidP="00192D3E">
            <w:pPr>
              <w:pStyle w:val="Default"/>
              <w:rPr>
                <w:sz w:val="22"/>
                <w:szCs w:val="22"/>
              </w:rPr>
            </w:pPr>
            <w:r w:rsidRPr="00F10C71">
              <w:rPr>
                <w:sz w:val="22"/>
                <w:szCs w:val="22"/>
              </w:rPr>
              <w:t xml:space="preserve">1 </w:t>
            </w:r>
          </w:p>
        </w:tc>
        <w:tc>
          <w:tcPr>
            <w:tcW w:w="4357" w:type="dxa"/>
          </w:tcPr>
          <w:p w:rsidR="00150209" w:rsidRDefault="00465B0F" w:rsidP="00F10C71">
            <w:pPr>
              <w:pStyle w:val="Default"/>
              <w:jc w:val="both"/>
              <w:rPr>
                <w:sz w:val="22"/>
                <w:szCs w:val="22"/>
              </w:rPr>
            </w:pPr>
            <w:r w:rsidRPr="00F10C71">
              <w:rPr>
                <w:sz w:val="22"/>
                <w:szCs w:val="22"/>
              </w:rPr>
              <w:t xml:space="preserve">Change in software and Server </w:t>
            </w:r>
          </w:p>
          <w:p w:rsidR="00465B0F" w:rsidRPr="00F10C71" w:rsidRDefault="00150209" w:rsidP="00F10C71">
            <w:pPr>
              <w:pStyle w:val="Default"/>
              <w:jc w:val="both"/>
              <w:rPr>
                <w:sz w:val="22"/>
                <w:szCs w:val="22"/>
              </w:rPr>
            </w:pPr>
            <w:r w:rsidRPr="00150209">
              <w:rPr>
                <w:sz w:val="22"/>
                <w:szCs w:val="22"/>
                <w:lang w:val="en-US"/>
              </w:rPr>
              <w:t>or Change in Server</w:t>
            </w:r>
          </w:p>
        </w:tc>
        <w:tc>
          <w:tcPr>
            <w:tcW w:w="5363" w:type="dxa"/>
          </w:tcPr>
          <w:p w:rsidR="00465B0F" w:rsidRPr="00F10C71" w:rsidRDefault="00465B0F" w:rsidP="00F10C71">
            <w:pPr>
              <w:pStyle w:val="Default"/>
              <w:numPr>
                <w:ilvl w:val="0"/>
                <w:numId w:val="17"/>
              </w:numPr>
              <w:jc w:val="both"/>
              <w:rPr>
                <w:sz w:val="22"/>
                <w:szCs w:val="22"/>
              </w:rPr>
            </w:pPr>
            <w:r w:rsidRPr="00F10C71">
              <w:rPr>
                <w:rFonts w:cstheme="minorBidi"/>
                <w:sz w:val="22"/>
                <w:szCs w:val="22"/>
              </w:rPr>
              <w:t xml:space="preserve">Auditor Report </w:t>
            </w:r>
            <w:r w:rsidRPr="00192D3E">
              <w:rPr>
                <w:b/>
                <w:bCs/>
                <w:sz w:val="22"/>
                <w:szCs w:val="22"/>
              </w:rPr>
              <w:t>Annexure II</w:t>
            </w:r>
            <w:r w:rsidRPr="00F10C71">
              <w:rPr>
                <w:sz w:val="22"/>
                <w:szCs w:val="22"/>
              </w:rPr>
              <w:t xml:space="preserve"> </w:t>
            </w:r>
          </w:p>
          <w:p w:rsidR="00465B0F" w:rsidRPr="00F10C71" w:rsidRDefault="00465B0F" w:rsidP="00F10C71">
            <w:pPr>
              <w:pStyle w:val="Default"/>
              <w:numPr>
                <w:ilvl w:val="0"/>
                <w:numId w:val="17"/>
              </w:numPr>
              <w:jc w:val="both"/>
              <w:rPr>
                <w:sz w:val="22"/>
                <w:szCs w:val="22"/>
              </w:rPr>
            </w:pPr>
            <w:r w:rsidRPr="00F10C71">
              <w:rPr>
                <w:sz w:val="22"/>
                <w:szCs w:val="22"/>
              </w:rPr>
              <w:t xml:space="preserve">Auditor Certificate </w:t>
            </w:r>
            <w:r w:rsidRPr="00192D3E">
              <w:rPr>
                <w:b/>
                <w:bCs/>
                <w:sz w:val="22"/>
                <w:szCs w:val="22"/>
              </w:rPr>
              <w:t>Annexure III</w:t>
            </w:r>
            <w:r w:rsidRPr="00F10C71">
              <w:rPr>
                <w:sz w:val="22"/>
                <w:szCs w:val="22"/>
              </w:rPr>
              <w:t xml:space="preserve"> </w:t>
            </w:r>
          </w:p>
          <w:p w:rsidR="00465B0F" w:rsidRPr="00F10C71" w:rsidRDefault="00465B0F" w:rsidP="00F10C71">
            <w:pPr>
              <w:pStyle w:val="Default"/>
              <w:numPr>
                <w:ilvl w:val="0"/>
                <w:numId w:val="17"/>
              </w:numPr>
              <w:jc w:val="both"/>
              <w:rPr>
                <w:sz w:val="22"/>
                <w:szCs w:val="22"/>
              </w:rPr>
            </w:pPr>
            <w:r w:rsidRPr="00F10C71">
              <w:rPr>
                <w:sz w:val="22"/>
                <w:szCs w:val="22"/>
              </w:rPr>
              <w:t xml:space="preserve">Vendor confirmation letter (only </w:t>
            </w:r>
            <w:proofErr w:type="spellStart"/>
            <w:r w:rsidRPr="00F10C71">
              <w:rPr>
                <w:sz w:val="22"/>
                <w:szCs w:val="22"/>
              </w:rPr>
              <w:t>incase</w:t>
            </w:r>
            <w:proofErr w:type="spellEnd"/>
            <w:r w:rsidRPr="00F10C71">
              <w:rPr>
                <w:sz w:val="22"/>
                <w:szCs w:val="22"/>
              </w:rPr>
              <w:t xml:space="preserve"> of “AT” software) </w:t>
            </w:r>
            <w:r w:rsidRPr="00192D3E">
              <w:rPr>
                <w:b/>
                <w:bCs/>
                <w:sz w:val="22"/>
                <w:szCs w:val="22"/>
              </w:rPr>
              <w:t>Annexure V</w:t>
            </w:r>
          </w:p>
          <w:p w:rsidR="00465B0F" w:rsidRPr="00F10C71" w:rsidRDefault="00465B0F" w:rsidP="00F10C71">
            <w:pPr>
              <w:pStyle w:val="Default"/>
              <w:jc w:val="both"/>
              <w:rPr>
                <w:sz w:val="22"/>
                <w:szCs w:val="22"/>
              </w:rPr>
            </w:pPr>
          </w:p>
        </w:tc>
      </w:tr>
      <w:tr w:rsidR="00465B0F" w:rsidRPr="00F10C71" w:rsidTr="00192D3E">
        <w:trPr>
          <w:trHeight w:val="812"/>
        </w:trPr>
        <w:tc>
          <w:tcPr>
            <w:tcW w:w="983" w:type="dxa"/>
          </w:tcPr>
          <w:p w:rsidR="00465B0F" w:rsidRPr="00F10C71" w:rsidRDefault="00465B0F" w:rsidP="00192D3E">
            <w:pPr>
              <w:pStyle w:val="Default"/>
              <w:rPr>
                <w:sz w:val="22"/>
                <w:szCs w:val="22"/>
              </w:rPr>
            </w:pPr>
            <w:r w:rsidRPr="00F10C71">
              <w:rPr>
                <w:sz w:val="22"/>
                <w:szCs w:val="22"/>
              </w:rPr>
              <w:t xml:space="preserve">2 </w:t>
            </w:r>
          </w:p>
        </w:tc>
        <w:tc>
          <w:tcPr>
            <w:tcW w:w="4357" w:type="dxa"/>
          </w:tcPr>
          <w:p w:rsidR="00465B0F" w:rsidRPr="00F10C71" w:rsidRDefault="00465B0F" w:rsidP="00F10C71">
            <w:pPr>
              <w:pStyle w:val="Default"/>
              <w:jc w:val="both"/>
              <w:rPr>
                <w:sz w:val="22"/>
                <w:szCs w:val="22"/>
              </w:rPr>
            </w:pPr>
            <w:r w:rsidRPr="00F10C71">
              <w:rPr>
                <w:sz w:val="22"/>
                <w:szCs w:val="22"/>
              </w:rPr>
              <w:t xml:space="preserve">Change in Software </w:t>
            </w:r>
          </w:p>
        </w:tc>
        <w:tc>
          <w:tcPr>
            <w:tcW w:w="5363" w:type="dxa"/>
          </w:tcPr>
          <w:p w:rsidR="00465B0F" w:rsidRPr="00F10C71" w:rsidRDefault="00465B0F" w:rsidP="00F10C71">
            <w:pPr>
              <w:pStyle w:val="Default"/>
              <w:numPr>
                <w:ilvl w:val="0"/>
                <w:numId w:val="16"/>
              </w:numPr>
              <w:jc w:val="both"/>
              <w:rPr>
                <w:sz w:val="22"/>
                <w:szCs w:val="22"/>
              </w:rPr>
            </w:pPr>
            <w:r w:rsidRPr="00F10C71">
              <w:rPr>
                <w:rFonts w:cstheme="minorBidi"/>
                <w:sz w:val="22"/>
                <w:szCs w:val="22"/>
              </w:rPr>
              <w:t xml:space="preserve">Auditor Certificate </w:t>
            </w:r>
            <w:r w:rsidRPr="00192D3E">
              <w:rPr>
                <w:b/>
                <w:bCs/>
                <w:sz w:val="22"/>
                <w:szCs w:val="22"/>
              </w:rPr>
              <w:t>Annexure III</w:t>
            </w:r>
            <w:r w:rsidRPr="00F10C71">
              <w:rPr>
                <w:sz w:val="22"/>
                <w:szCs w:val="22"/>
              </w:rPr>
              <w:t xml:space="preserve"> </w:t>
            </w:r>
          </w:p>
          <w:p w:rsidR="00465B0F" w:rsidRPr="00F10C71" w:rsidRDefault="00465B0F" w:rsidP="00F10C71">
            <w:pPr>
              <w:pStyle w:val="Default"/>
              <w:numPr>
                <w:ilvl w:val="0"/>
                <w:numId w:val="16"/>
              </w:numPr>
              <w:jc w:val="both"/>
              <w:rPr>
                <w:sz w:val="22"/>
                <w:szCs w:val="22"/>
              </w:rPr>
            </w:pPr>
            <w:r w:rsidRPr="00F10C71">
              <w:rPr>
                <w:sz w:val="22"/>
                <w:szCs w:val="22"/>
              </w:rPr>
              <w:t xml:space="preserve">Vendor confirmation letter (only </w:t>
            </w:r>
            <w:proofErr w:type="spellStart"/>
            <w:r w:rsidRPr="00F10C71">
              <w:rPr>
                <w:sz w:val="22"/>
                <w:szCs w:val="22"/>
              </w:rPr>
              <w:t>incase</w:t>
            </w:r>
            <w:proofErr w:type="spellEnd"/>
            <w:r w:rsidRPr="00F10C71">
              <w:rPr>
                <w:sz w:val="22"/>
                <w:szCs w:val="22"/>
              </w:rPr>
              <w:t xml:space="preserve"> of “AT” software) </w:t>
            </w:r>
            <w:r w:rsidRPr="00192D3E">
              <w:rPr>
                <w:b/>
                <w:bCs/>
                <w:sz w:val="22"/>
                <w:szCs w:val="22"/>
              </w:rPr>
              <w:t>Annexure V</w:t>
            </w:r>
          </w:p>
          <w:p w:rsidR="00465B0F" w:rsidRPr="00F10C71" w:rsidRDefault="00465B0F" w:rsidP="00F10C71">
            <w:pPr>
              <w:pStyle w:val="Default"/>
              <w:jc w:val="both"/>
              <w:rPr>
                <w:sz w:val="22"/>
                <w:szCs w:val="22"/>
              </w:rPr>
            </w:pPr>
          </w:p>
        </w:tc>
      </w:tr>
      <w:tr w:rsidR="00465B0F" w:rsidRPr="00F10C71" w:rsidTr="00192D3E">
        <w:trPr>
          <w:trHeight w:val="800"/>
        </w:trPr>
        <w:tc>
          <w:tcPr>
            <w:tcW w:w="983" w:type="dxa"/>
          </w:tcPr>
          <w:p w:rsidR="00465B0F" w:rsidRPr="00F10C71" w:rsidRDefault="00465B0F" w:rsidP="00192D3E">
            <w:pPr>
              <w:pStyle w:val="Default"/>
              <w:rPr>
                <w:sz w:val="22"/>
                <w:szCs w:val="22"/>
              </w:rPr>
            </w:pPr>
            <w:r w:rsidRPr="00F10C71">
              <w:rPr>
                <w:sz w:val="22"/>
                <w:szCs w:val="22"/>
              </w:rPr>
              <w:t xml:space="preserve">3 </w:t>
            </w:r>
          </w:p>
        </w:tc>
        <w:tc>
          <w:tcPr>
            <w:tcW w:w="4357" w:type="dxa"/>
          </w:tcPr>
          <w:p w:rsidR="00465B0F" w:rsidRPr="00F10C71" w:rsidRDefault="00465B0F" w:rsidP="00F10C71">
            <w:pPr>
              <w:pStyle w:val="Default"/>
              <w:jc w:val="both"/>
              <w:rPr>
                <w:sz w:val="22"/>
                <w:szCs w:val="22"/>
              </w:rPr>
            </w:pPr>
            <w:r w:rsidRPr="00F10C71">
              <w:rPr>
                <w:sz w:val="22"/>
                <w:szCs w:val="22"/>
              </w:rPr>
              <w:t xml:space="preserve">For any change other than RMS/ OMS/ Feature/ Functionality of software </w:t>
            </w:r>
          </w:p>
        </w:tc>
        <w:tc>
          <w:tcPr>
            <w:tcW w:w="5363" w:type="dxa"/>
          </w:tcPr>
          <w:p w:rsidR="00465B0F" w:rsidRPr="00F10C71" w:rsidRDefault="00465B0F" w:rsidP="00F10C71">
            <w:pPr>
              <w:pStyle w:val="Default"/>
              <w:jc w:val="both"/>
              <w:rPr>
                <w:rFonts w:cstheme="minorBidi"/>
                <w:color w:val="auto"/>
                <w:sz w:val="22"/>
                <w:szCs w:val="22"/>
              </w:rPr>
            </w:pPr>
          </w:p>
          <w:p w:rsidR="00465B0F" w:rsidRPr="00F10C71" w:rsidRDefault="00465B0F" w:rsidP="00F10C71">
            <w:pPr>
              <w:pStyle w:val="Default"/>
              <w:numPr>
                <w:ilvl w:val="0"/>
                <w:numId w:val="18"/>
              </w:numPr>
              <w:jc w:val="both"/>
              <w:rPr>
                <w:sz w:val="22"/>
                <w:szCs w:val="22"/>
              </w:rPr>
            </w:pPr>
            <w:r w:rsidRPr="00F10C71">
              <w:rPr>
                <w:rFonts w:cstheme="minorBidi"/>
                <w:sz w:val="22"/>
                <w:szCs w:val="22"/>
              </w:rPr>
              <w:t xml:space="preserve">Auditor Certificate </w:t>
            </w:r>
            <w:r w:rsidRPr="00192D3E">
              <w:rPr>
                <w:b/>
                <w:bCs/>
                <w:sz w:val="22"/>
                <w:szCs w:val="22"/>
              </w:rPr>
              <w:t>Annexure II</w:t>
            </w:r>
            <w:r w:rsidR="00192D3E" w:rsidRPr="00192D3E">
              <w:rPr>
                <w:b/>
                <w:bCs/>
                <w:sz w:val="22"/>
                <w:szCs w:val="22"/>
              </w:rPr>
              <w:t>I</w:t>
            </w:r>
          </w:p>
          <w:p w:rsidR="00150209" w:rsidRPr="00150209" w:rsidRDefault="00150209" w:rsidP="00150209">
            <w:pPr>
              <w:pStyle w:val="Default"/>
              <w:numPr>
                <w:ilvl w:val="0"/>
                <w:numId w:val="18"/>
              </w:numPr>
              <w:jc w:val="both"/>
              <w:rPr>
                <w:rFonts w:cstheme="minorBidi"/>
                <w:sz w:val="22"/>
                <w:szCs w:val="22"/>
              </w:rPr>
            </w:pPr>
            <w:r w:rsidRPr="00150209">
              <w:rPr>
                <w:rFonts w:cstheme="minorBidi"/>
                <w:sz w:val="22"/>
                <w:szCs w:val="22"/>
              </w:rPr>
              <w:t>Vendor confirmation letter (only incase</w:t>
            </w:r>
          </w:p>
          <w:p w:rsidR="00465B0F" w:rsidRPr="00F10C71" w:rsidRDefault="00150209" w:rsidP="00150209">
            <w:pPr>
              <w:pStyle w:val="Default"/>
              <w:ind w:left="720"/>
              <w:jc w:val="both"/>
              <w:rPr>
                <w:sz w:val="22"/>
                <w:szCs w:val="22"/>
              </w:rPr>
            </w:pPr>
            <w:r>
              <w:rPr>
                <w:rFonts w:cstheme="minorBidi"/>
                <w:sz w:val="22"/>
                <w:szCs w:val="22"/>
              </w:rPr>
              <w:t>o</w:t>
            </w:r>
            <w:r w:rsidRPr="00150209">
              <w:rPr>
                <w:rFonts w:cstheme="minorBidi"/>
                <w:sz w:val="22"/>
                <w:szCs w:val="22"/>
              </w:rPr>
              <w:t>f “AT” software</w:t>
            </w:r>
            <w:r>
              <w:rPr>
                <w:rFonts w:cstheme="minorBidi"/>
                <w:sz w:val="22"/>
                <w:szCs w:val="22"/>
              </w:rPr>
              <w:t>)</w:t>
            </w:r>
            <w:r w:rsidRPr="00150209">
              <w:rPr>
                <w:rFonts w:cstheme="minorBidi"/>
                <w:sz w:val="22"/>
                <w:szCs w:val="22"/>
              </w:rPr>
              <w:t xml:space="preserve"> - </w:t>
            </w:r>
            <w:r w:rsidRPr="00150209">
              <w:rPr>
                <w:rFonts w:cstheme="minorBidi"/>
                <w:b/>
                <w:bCs/>
                <w:sz w:val="22"/>
                <w:szCs w:val="22"/>
              </w:rPr>
              <w:t>Annexure V</w:t>
            </w:r>
          </w:p>
        </w:tc>
      </w:tr>
      <w:bookmarkEnd w:id="0"/>
    </w:tbl>
    <w:p w:rsidR="00192D3E" w:rsidRDefault="00192D3E" w:rsidP="00465B0F">
      <w:pPr>
        <w:pStyle w:val="Default"/>
        <w:rPr>
          <w:sz w:val="22"/>
          <w:szCs w:val="22"/>
        </w:rPr>
      </w:pPr>
    </w:p>
    <w:p w:rsidR="00192D3E" w:rsidRDefault="00192D3E" w:rsidP="00465B0F">
      <w:pPr>
        <w:pStyle w:val="Default"/>
        <w:rPr>
          <w:sz w:val="22"/>
          <w:szCs w:val="22"/>
        </w:rPr>
      </w:pPr>
    </w:p>
    <w:p w:rsidR="00465B0F" w:rsidRPr="00F10C71" w:rsidRDefault="00685459" w:rsidP="00465B0F">
      <w:pPr>
        <w:pStyle w:val="Default"/>
        <w:rPr>
          <w:sz w:val="22"/>
          <w:szCs w:val="22"/>
        </w:rPr>
      </w:pPr>
      <w:r w:rsidRPr="00F10C71">
        <w:rPr>
          <w:noProof/>
          <w:sz w:val="22"/>
          <w:szCs w:val="22"/>
        </w:rPr>
        <mc:AlternateContent>
          <mc:Choice Requires="wps">
            <w:drawing>
              <wp:anchor distT="0" distB="0" distL="114300" distR="114300" simplePos="0" relativeHeight="251700224" behindDoc="0" locked="0" layoutInCell="1" allowOverlap="1" wp14:anchorId="35E3A721" wp14:editId="1384A372">
                <wp:simplePos x="0" y="0"/>
                <wp:positionH relativeFrom="page">
                  <wp:align>center</wp:align>
                </wp:positionH>
                <wp:positionV relativeFrom="paragraph">
                  <wp:posOffset>27305</wp:posOffset>
                </wp:positionV>
                <wp:extent cx="6388100" cy="432435"/>
                <wp:effectExtent l="0" t="0" r="12700" b="24765"/>
                <wp:wrapNone/>
                <wp:docPr id="2143386311" name="Rounded Rectangle 24"/>
                <wp:cNvGraphicFramePr/>
                <a:graphic xmlns:a="http://schemas.openxmlformats.org/drawingml/2006/main">
                  <a:graphicData uri="http://schemas.microsoft.com/office/word/2010/wordprocessingShape">
                    <wps:wsp>
                      <wps:cNvSpPr/>
                      <wps:spPr>
                        <a:xfrm>
                          <a:off x="0" y="0"/>
                          <a:ext cx="6388100" cy="43243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465B0F" w:rsidRPr="008F45F5" w:rsidRDefault="00465B0F" w:rsidP="00685459">
                            <w:pPr>
                              <w:pStyle w:val="NoSpacing"/>
                              <w:jc w:val="center"/>
                              <w:rPr>
                                <w:rFonts w:ascii="IBM Plex Sans" w:hAnsi="IBM Plex Sans"/>
                                <w:b/>
                              </w:rPr>
                            </w:pPr>
                            <w:r w:rsidRPr="008F45F5">
                              <w:rPr>
                                <w:rFonts w:ascii="IBM Plex Sans" w:hAnsi="IBM Plex Sans"/>
                                <w:b/>
                              </w:rPr>
                              <w:t xml:space="preserve">Modification of already registered </w:t>
                            </w:r>
                            <w:r w:rsidR="00685459">
                              <w:rPr>
                                <w:rFonts w:ascii="IBM Plex Sans" w:hAnsi="IBM Plex Sans"/>
                                <w:b/>
                              </w:rPr>
                              <w:t xml:space="preserve">In-house </w:t>
                            </w:r>
                            <w:r w:rsidRPr="008F45F5">
                              <w:rPr>
                                <w:rFonts w:ascii="IBM Plex Sans" w:hAnsi="IBM Plex Sans"/>
                                <w:b/>
                              </w:rPr>
                              <w:t xml:space="preserve">software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3A721" id="_x0000_s1028" style="position:absolute;margin-left:0;margin-top:2.15pt;width:503pt;height:34.05pt;z-index:251700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" fillcolor="white [3201]" strokecolor="black [3200]" strokeweight="1pt">
                <v:textbox>
                  <w:txbxContent>
                    <w:p w:rsidR="00465B0F" w:rsidRPr="008F45F5" w:rsidRDefault="00465B0F" w:rsidP="00685459">
                      <w:pPr>
                        <w:pStyle w:val="NoSpacing"/>
                        <w:jc w:val="center"/>
                        <w:rPr>
                          <w:rFonts w:ascii="IBM Plex Sans" w:hAnsi="IBM Plex Sans"/>
                          <w:b/>
                        </w:rPr>
                      </w:pPr>
                      <w:r w:rsidRPr="008F45F5">
                        <w:rPr>
                          <w:rFonts w:ascii="IBM Plex Sans" w:hAnsi="IBM Plex Sans"/>
                          <w:b/>
                        </w:rPr>
                        <w:t xml:space="preserve">Modification of already registered </w:t>
                      </w:r>
                      <w:r w:rsidR="00685459">
                        <w:rPr>
                          <w:rFonts w:ascii="IBM Plex Sans" w:hAnsi="IBM Plex Sans"/>
                          <w:b/>
                        </w:rPr>
                        <w:t xml:space="preserve">In-house </w:t>
                      </w:r>
                      <w:r w:rsidRPr="008F45F5">
                        <w:rPr>
                          <w:rFonts w:ascii="IBM Plex Sans" w:hAnsi="IBM Plex Sans"/>
                          <w:b/>
                        </w:rPr>
                        <w:t xml:space="preserve">software </w:t>
                      </w:r>
                    </w:p>
                  </w:txbxContent>
                </v:textbox>
                <w10:wrap anchorx="page"/>
              </v:roundrect>
            </w:pict>
          </mc:Fallback>
        </mc:AlternateContent>
      </w:r>
    </w:p>
    <w:p w:rsidR="00465B0F" w:rsidRPr="00F10C71" w:rsidRDefault="00465B0F" w:rsidP="00465B0F">
      <w:pPr>
        <w:pStyle w:val="Default"/>
        <w:rPr>
          <w:sz w:val="22"/>
          <w:szCs w:val="22"/>
        </w:rPr>
      </w:pPr>
    </w:p>
    <w:p w:rsidR="00465B0F" w:rsidRPr="00F10C71" w:rsidRDefault="00465B0F" w:rsidP="00465B0F"/>
    <w:p w:rsidR="00465B0F" w:rsidRPr="00F10C71" w:rsidRDefault="00465B0F" w:rsidP="00465B0F"/>
    <w:p w:rsidR="00685459" w:rsidRPr="00F10C71" w:rsidRDefault="00685459" w:rsidP="00685459">
      <w:pPr>
        <w:pStyle w:val="Default"/>
        <w:ind w:left="720"/>
        <w:jc w:val="both"/>
        <w:rPr>
          <w:sz w:val="22"/>
          <w:szCs w:val="22"/>
        </w:rPr>
      </w:pPr>
      <w:r w:rsidRPr="00F10C71">
        <w:rPr>
          <w:sz w:val="22"/>
          <w:szCs w:val="22"/>
        </w:rPr>
        <w:t>Members seeking registration for modified software/systems of CTCL, AT, IBT, STWT or DMA shall provide the following documents through the online portal ENIT. For SOR, member is required to submit the application in physical form - along with below mentioned documents:</w:t>
      </w:r>
    </w:p>
    <w:p w:rsidR="00685459" w:rsidRPr="00F10C71" w:rsidRDefault="00685459" w:rsidP="00685459">
      <w:pPr>
        <w:pStyle w:val="Default"/>
        <w:rPr>
          <w:sz w:val="22"/>
          <w:szCs w:val="22"/>
        </w:rPr>
      </w:pPr>
    </w:p>
    <w:tbl>
      <w:tblPr>
        <w:tblStyle w:val="PlainTable1"/>
        <w:tblW w:w="0" w:type="auto"/>
        <w:tblLook w:val="04A0" w:firstRow="1" w:lastRow="0" w:firstColumn="1" w:lastColumn="0" w:noHBand="0" w:noVBand="1"/>
      </w:tblPr>
      <w:tblGrid>
        <w:gridCol w:w="10280"/>
      </w:tblGrid>
      <w:tr w:rsidR="00192D3E" w:rsidTr="00192D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0" w:type="dxa"/>
          </w:tcPr>
          <w:tbl>
            <w:tblPr>
              <w:tblStyle w:val="TableGrid"/>
              <w:tblW w:w="10212" w:type="dxa"/>
              <w:tblLook w:val="0000" w:firstRow="0" w:lastRow="0" w:firstColumn="0" w:lastColumn="0" w:noHBand="0" w:noVBand="0"/>
            </w:tblPr>
            <w:tblGrid>
              <w:gridCol w:w="862"/>
              <w:gridCol w:w="4245"/>
              <w:gridCol w:w="5105"/>
            </w:tblGrid>
            <w:tr w:rsidR="00192D3E" w:rsidRPr="00192D3E" w:rsidTr="00192D3E">
              <w:trPr>
                <w:trHeight w:val="99"/>
              </w:trPr>
              <w:tc>
                <w:tcPr>
                  <w:tcW w:w="856" w:type="dxa"/>
                </w:tcPr>
                <w:p w:rsidR="00192D3E" w:rsidRPr="00192D3E" w:rsidRDefault="00192D3E" w:rsidP="009B1EA1">
                  <w:pPr>
                    <w:pStyle w:val="Default"/>
                    <w:jc w:val="center"/>
                    <w:rPr>
                      <w:sz w:val="22"/>
                      <w:szCs w:val="22"/>
                    </w:rPr>
                  </w:pPr>
                  <w:r w:rsidRPr="00192D3E">
                    <w:rPr>
                      <w:b/>
                      <w:bCs/>
                      <w:sz w:val="22"/>
                      <w:szCs w:val="22"/>
                    </w:rPr>
                    <w:t>Sr.No.</w:t>
                  </w:r>
                </w:p>
              </w:tc>
              <w:tc>
                <w:tcPr>
                  <w:tcW w:w="4248" w:type="dxa"/>
                </w:tcPr>
                <w:p w:rsidR="00192D3E" w:rsidRPr="00192D3E" w:rsidRDefault="00192D3E" w:rsidP="009B1EA1">
                  <w:pPr>
                    <w:pStyle w:val="Default"/>
                    <w:jc w:val="center"/>
                    <w:rPr>
                      <w:sz w:val="22"/>
                      <w:szCs w:val="22"/>
                    </w:rPr>
                  </w:pPr>
                  <w:r w:rsidRPr="00192D3E">
                    <w:rPr>
                      <w:b/>
                      <w:bCs/>
                      <w:sz w:val="22"/>
                      <w:szCs w:val="22"/>
                    </w:rPr>
                    <w:t>Request Type</w:t>
                  </w:r>
                </w:p>
              </w:tc>
              <w:tc>
                <w:tcPr>
                  <w:tcW w:w="5108" w:type="dxa"/>
                </w:tcPr>
                <w:p w:rsidR="00192D3E" w:rsidRPr="00192D3E" w:rsidRDefault="00192D3E" w:rsidP="009B1EA1">
                  <w:pPr>
                    <w:pStyle w:val="Default"/>
                    <w:jc w:val="center"/>
                    <w:rPr>
                      <w:sz w:val="22"/>
                      <w:szCs w:val="22"/>
                    </w:rPr>
                  </w:pPr>
                  <w:r w:rsidRPr="00192D3E">
                    <w:rPr>
                      <w:b/>
                      <w:bCs/>
                      <w:sz w:val="22"/>
                      <w:szCs w:val="22"/>
                    </w:rPr>
                    <w:t>Documents</w:t>
                  </w:r>
                </w:p>
              </w:tc>
            </w:tr>
            <w:tr w:rsidR="00192D3E" w:rsidRPr="00192D3E" w:rsidTr="00192D3E">
              <w:trPr>
                <w:trHeight w:val="360"/>
              </w:trPr>
              <w:tc>
                <w:tcPr>
                  <w:tcW w:w="856" w:type="dxa"/>
                </w:tcPr>
                <w:p w:rsidR="00192D3E" w:rsidRPr="00192D3E" w:rsidRDefault="00192D3E" w:rsidP="009B1EA1">
                  <w:pPr>
                    <w:pStyle w:val="Default"/>
                    <w:jc w:val="both"/>
                    <w:rPr>
                      <w:sz w:val="22"/>
                      <w:szCs w:val="22"/>
                    </w:rPr>
                  </w:pPr>
                  <w:r w:rsidRPr="00192D3E">
                    <w:rPr>
                      <w:sz w:val="22"/>
                      <w:szCs w:val="22"/>
                    </w:rPr>
                    <w:t xml:space="preserve">1 </w:t>
                  </w:r>
                </w:p>
              </w:tc>
              <w:tc>
                <w:tcPr>
                  <w:tcW w:w="4248" w:type="dxa"/>
                </w:tcPr>
                <w:p w:rsidR="00192D3E" w:rsidRPr="00192D3E" w:rsidRDefault="00192D3E" w:rsidP="009B1EA1">
                  <w:pPr>
                    <w:pStyle w:val="Default"/>
                    <w:jc w:val="both"/>
                    <w:rPr>
                      <w:sz w:val="22"/>
                      <w:szCs w:val="22"/>
                    </w:rPr>
                  </w:pPr>
                  <w:r w:rsidRPr="00192D3E">
                    <w:rPr>
                      <w:sz w:val="22"/>
                      <w:szCs w:val="22"/>
                    </w:rPr>
                    <w:t xml:space="preserve">Change in software and Server or Change in Server </w:t>
                  </w:r>
                </w:p>
              </w:tc>
              <w:tc>
                <w:tcPr>
                  <w:tcW w:w="5108" w:type="dxa"/>
                </w:tcPr>
                <w:p w:rsidR="00192D3E" w:rsidRPr="00192D3E" w:rsidRDefault="00192D3E" w:rsidP="009B1EA1">
                  <w:pPr>
                    <w:pStyle w:val="Default"/>
                    <w:numPr>
                      <w:ilvl w:val="0"/>
                      <w:numId w:val="18"/>
                    </w:numPr>
                    <w:jc w:val="both"/>
                    <w:rPr>
                      <w:sz w:val="22"/>
                      <w:szCs w:val="22"/>
                    </w:rPr>
                  </w:pPr>
                  <w:r w:rsidRPr="00192D3E">
                    <w:rPr>
                      <w:rFonts w:cstheme="minorBidi"/>
                      <w:sz w:val="22"/>
                      <w:szCs w:val="22"/>
                    </w:rPr>
                    <w:t xml:space="preserve">Auditor Report </w:t>
                  </w:r>
                  <w:r w:rsidRPr="00192D3E">
                    <w:rPr>
                      <w:b/>
                      <w:bCs/>
                      <w:sz w:val="22"/>
                      <w:szCs w:val="22"/>
                    </w:rPr>
                    <w:t xml:space="preserve">Annexure II </w:t>
                  </w:r>
                </w:p>
                <w:p w:rsidR="00192D3E" w:rsidRPr="00192D3E" w:rsidRDefault="00192D3E" w:rsidP="009B1EA1">
                  <w:pPr>
                    <w:pStyle w:val="Default"/>
                    <w:numPr>
                      <w:ilvl w:val="0"/>
                      <w:numId w:val="18"/>
                    </w:numPr>
                    <w:jc w:val="both"/>
                    <w:rPr>
                      <w:sz w:val="22"/>
                      <w:szCs w:val="22"/>
                    </w:rPr>
                  </w:pPr>
                  <w:r w:rsidRPr="00192D3E">
                    <w:rPr>
                      <w:sz w:val="22"/>
                      <w:szCs w:val="22"/>
                    </w:rPr>
                    <w:t xml:space="preserve">Auditor Certificate </w:t>
                  </w:r>
                  <w:r w:rsidRPr="00192D3E">
                    <w:rPr>
                      <w:b/>
                      <w:bCs/>
                      <w:sz w:val="22"/>
                      <w:szCs w:val="22"/>
                    </w:rPr>
                    <w:t xml:space="preserve">Annexure III </w:t>
                  </w:r>
                </w:p>
                <w:p w:rsidR="00192D3E" w:rsidRPr="00192D3E" w:rsidRDefault="00192D3E" w:rsidP="009B1EA1">
                  <w:pPr>
                    <w:pStyle w:val="Default"/>
                    <w:numPr>
                      <w:ilvl w:val="0"/>
                      <w:numId w:val="18"/>
                    </w:numPr>
                    <w:jc w:val="both"/>
                    <w:rPr>
                      <w:sz w:val="22"/>
                      <w:szCs w:val="22"/>
                    </w:rPr>
                  </w:pPr>
                  <w:r w:rsidRPr="00192D3E">
                    <w:rPr>
                      <w:sz w:val="22"/>
                      <w:szCs w:val="22"/>
                    </w:rPr>
                    <w:t xml:space="preserve">Product and RMS writeup </w:t>
                  </w:r>
                </w:p>
                <w:p w:rsidR="00192D3E" w:rsidRPr="00192D3E" w:rsidRDefault="00192D3E" w:rsidP="009B1EA1">
                  <w:pPr>
                    <w:pStyle w:val="Default"/>
                    <w:jc w:val="both"/>
                    <w:rPr>
                      <w:sz w:val="22"/>
                      <w:szCs w:val="22"/>
                    </w:rPr>
                  </w:pPr>
                </w:p>
              </w:tc>
            </w:tr>
            <w:tr w:rsidR="00192D3E" w:rsidRPr="00192D3E" w:rsidTr="00192D3E">
              <w:trPr>
                <w:trHeight w:val="634"/>
              </w:trPr>
              <w:tc>
                <w:tcPr>
                  <w:tcW w:w="856" w:type="dxa"/>
                </w:tcPr>
                <w:p w:rsidR="00192D3E" w:rsidRPr="00192D3E" w:rsidRDefault="00192D3E" w:rsidP="009B1EA1">
                  <w:pPr>
                    <w:pStyle w:val="Default"/>
                    <w:jc w:val="both"/>
                    <w:rPr>
                      <w:sz w:val="22"/>
                      <w:szCs w:val="22"/>
                    </w:rPr>
                  </w:pPr>
                  <w:r w:rsidRPr="00192D3E">
                    <w:rPr>
                      <w:sz w:val="22"/>
                      <w:szCs w:val="22"/>
                    </w:rPr>
                    <w:t xml:space="preserve">2 </w:t>
                  </w:r>
                </w:p>
              </w:tc>
              <w:tc>
                <w:tcPr>
                  <w:tcW w:w="4248" w:type="dxa"/>
                </w:tcPr>
                <w:p w:rsidR="00192D3E" w:rsidRPr="00192D3E" w:rsidRDefault="00192D3E" w:rsidP="009B1EA1">
                  <w:pPr>
                    <w:pStyle w:val="Default"/>
                    <w:jc w:val="both"/>
                    <w:rPr>
                      <w:sz w:val="22"/>
                      <w:szCs w:val="22"/>
                    </w:rPr>
                  </w:pPr>
                  <w:r w:rsidRPr="00192D3E">
                    <w:rPr>
                      <w:sz w:val="22"/>
                      <w:szCs w:val="22"/>
                    </w:rPr>
                    <w:t xml:space="preserve">Change in Software </w:t>
                  </w:r>
                </w:p>
              </w:tc>
              <w:tc>
                <w:tcPr>
                  <w:tcW w:w="5108" w:type="dxa"/>
                </w:tcPr>
                <w:p w:rsidR="00192D3E" w:rsidRPr="00192D3E" w:rsidRDefault="00192D3E" w:rsidP="009B1EA1">
                  <w:pPr>
                    <w:pStyle w:val="Default"/>
                    <w:numPr>
                      <w:ilvl w:val="0"/>
                      <w:numId w:val="23"/>
                    </w:numPr>
                    <w:jc w:val="both"/>
                    <w:rPr>
                      <w:sz w:val="22"/>
                      <w:szCs w:val="22"/>
                    </w:rPr>
                  </w:pPr>
                  <w:r w:rsidRPr="00192D3E">
                    <w:rPr>
                      <w:rFonts w:cstheme="minorBidi"/>
                      <w:sz w:val="22"/>
                      <w:szCs w:val="22"/>
                    </w:rPr>
                    <w:t xml:space="preserve">Auditor Certificate </w:t>
                  </w:r>
                  <w:r w:rsidRPr="00192D3E">
                    <w:rPr>
                      <w:b/>
                      <w:bCs/>
                      <w:sz w:val="22"/>
                      <w:szCs w:val="22"/>
                    </w:rPr>
                    <w:t xml:space="preserve">Annexure III </w:t>
                  </w:r>
                </w:p>
                <w:p w:rsidR="00192D3E" w:rsidRPr="00192D3E" w:rsidRDefault="00192D3E" w:rsidP="009B1EA1">
                  <w:pPr>
                    <w:pStyle w:val="Default"/>
                    <w:numPr>
                      <w:ilvl w:val="0"/>
                      <w:numId w:val="23"/>
                    </w:numPr>
                    <w:jc w:val="both"/>
                    <w:rPr>
                      <w:sz w:val="22"/>
                      <w:szCs w:val="22"/>
                    </w:rPr>
                  </w:pPr>
                  <w:r w:rsidRPr="00192D3E">
                    <w:rPr>
                      <w:sz w:val="22"/>
                      <w:szCs w:val="22"/>
                    </w:rPr>
                    <w:t xml:space="preserve">Product and RMS writeup </w:t>
                  </w:r>
                </w:p>
                <w:p w:rsidR="00192D3E" w:rsidRPr="00192D3E" w:rsidRDefault="00192D3E" w:rsidP="009B1EA1">
                  <w:pPr>
                    <w:pStyle w:val="Default"/>
                    <w:jc w:val="both"/>
                    <w:rPr>
                      <w:sz w:val="22"/>
                      <w:szCs w:val="22"/>
                    </w:rPr>
                  </w:pPr>
                </w:p>
              </w:tc>
            </w:tr>
            <w:tr w:rsidR="00192D3E" w:rsidRPr="00192D3E" w:rsidTr="00192D3E">
              <w:trPr>
                <w:trHeight w:val="860"/>
              </w:trPr>
              <w:tc>
                <w:tcPr>
                  <w:tcW w:w="856" w:type="dxa"/>
                </w:tcPr>
                <w:p w:rsidR="00192D3E" w:rsidRPr="00192D3E" w:rsidRDefault="00192D3E" w:rsidP="009B1EA1">
                  <w:pPr>
                    <w:pStyle w:val="Default"/>
                    <w:jc w:val="both"/>
                    <w:rPr>
                      <w:sz w:val="22"/>
                      <w:szCs w:val="22"/>
                    </w:rPr>
                  </w:pPr>
                  <w:r w:rsidRPr="00192D3E">
                    <w:rPr>
                      <w:sz w:val="22"/>
                      <w:szCs w:val="22"/>
                    </w:rPr>
                    <w:t xml:space="preserve">3 </w:t>
                  </w:r>
                </w:p>
              </w:tc>
              <w:tc>
                <w:tcPr>
                  <w:tcW w:w="4248" w:type="dxa"/>
                </w:tcPr>
                <w:p w:rsidR="00192D3E" w:rsidRPr="00192D3E" w:rsidRDefault="00192D3E" w:rsidP="009B1EA1">
                  <w:pPr>
                    <w:pStyle w:val="Default"/>
                    <w:jc w:val="both"/>
                    <w:rPr>
                      <w:sz w:val="22"/>
                      <w:szCs w:val="22"/>
                    </w:rPr>
                  </w:pPr>
                  <w:r w:rsidRPr="00192D3E">
                    <w:rPr>
                      <w:sz w:val="22"/>
                      <w:szCs w:val="22"/>
                    </w:rPr>
                    <w:t xml:space="preserve">For any change other than RMS/ OMS/ Feature/ Functionality of software </w:t>
                  </w:r>
                </w:p>
              </w:tc>
              <w:tc>
                <w:tcPr>
                  <w:tcW w:w="5108" w:type="dxa"/>
                </w:tcPr>
                <w:p w:rsidR="00192D3E" w:rsidRPr="00192D3E" w:rsidRDefault="00192D3E" w:rsidP="009B1EA1">
                  <w:pPr>
                    <w:pStyle w:val="Default"/>
                    <w:jc w:val="both"/>
                    <w:rPr>
                      <w:rFonts w:cstheme="minorBidi"/>
                      <w:color w:val="auto"/>
                      <w:sz w:val="22"/>
                      <w:szCs w:val="22"/>
                    </w:rPr>
                  </w:pPr>
                </w:p>
                <w:p w:rsidR="00192D3E" w:rsidRPr="00192D3E" w:rsidRDefault="00192D3E" w:rsidP="009B1EA1">
                  <w:pPr>
                    <w:pStyle w:val="Default"/>
                    <w:numPr>
                      <w:ilvl w:val="0"/>
                      <w:numId w:val="24"/>
                    </w:numPr>
                    <w:jc w:val="both"/>
                    <w:rPr>
                      <w:sz w:val="22"/>
                      <w:szCs w:val="22"/>
                    </w:rPr>
                  </w:pPr>
                  <w:r w:rsidRPr="00192D3E">
                    <w:rPr>
                      <w:rFonts w:cstheme="minorBidi"/>
                      <w:sz w:val="22"/>
                      <w:szCs w:val="22"/>
                    </w:rPr>
                    <w:t xml:space="preserve">Auditor Certificate </w:t>
                  </w:r>
                  <w:r w:rsidRPr="00192D3E">
                    <w:rPr>
                      <w:b/>
                      <w:bCs/>
                      <w:sz w:val="22"/>
                      <w:szCs w:val="22"/>
                    </w:rPr>
                    <w:t xml:space="preserve">Annexure III </w:t>
                  </w:r>
                </w:p>
                <w:p w:rsidR="00192D3E" w:rsidRPr="00192D3E" w:rsidRDefault="00192D3E" w:rsidP="009B1EA1">
                  <w:pPr>
                    <w:pStyle w:val="Default"/>
                    <w:numPr>
                      <w:ilvl w:val="0"/>
                      <w:numId w:val="24"/>
                    </w:numPr>
                    <w:jc w:val="both"/>
                    <w:rPr>
                      <w:sz w:val="22"/>
                      <w:szCs w:val="22"/>
                    </w:rPr>
                  </w:pPr>
                  <w:r w:rsidRPr="00192D3E">
                    <w:rPr>
                      <w:sz w:val="22"/>
                      <w:szCs w:val="22"/>
                    </w:rPr>
                    <w:t xml:space="preserve">No change letter </w:t>
                  </w:r>
                  <w:r w:rsidR="00150209">
                    <w:rPr>
                      <w:sz w:val="22"/>
                      <w:szCs w:val="22"/>
                    </w:rPr>
                    <w:t xml:space="preserve">- </w:t>
                  </w:r>
                  <w:r w:rsidRPr="00150209">
                    <w:rPr>
                      <w:b/>
                      <w:bCs/>
                      <w:sz w:val="22"/>
                      <w:szCs w:val="22"/>
                    </w:rPr>
                    <w:t>Annexure IV</w:t>
                  </w:r>
                  <w:r w:rsidRPr="00192D3E">
                    <w:rPr>
                      <w:sz w:val="22"/>
                      <w:szCs w:val="22"/>
                    </w:rPr>
                    <w:t xml:space="preserve"> </w:t>
                  </w:r>
                </w:p>
                <w:p w:rsidR="00192D3E" w:rsidRPr="00192D3E" w:rsidRDefault="00192D3E" w:rsidP="009B1EA1">
                  <w:pPr>
                    <w:pStyle w:val="Default"/>
                    <w:jc w:val="both"/>
                    <w:rPr>
                      <w:sz w:val="22"/>
                      <w:szCs w:val="22"/>
                    </w:rPr>
                  </w:pPr>
                </w:p>
              </w:tc>
            </w:tr>
          </w:tbl>
          <w:p w:rsidR="00192D3E" w:rsidRDefault="00192D3E"/>
        </w:tc>
      </w:tr>
    </w:tbl>
    <w:p w:rsidR="00685459" w:rsidRDefault="00685459" w:rsidP="00192D3E">
      <w:pPr>
        <w:pStyle w:val="Default"/>
        <w:rPr>
          <w:sz w:val="20"/>
          <w:szCs w:val="20"/>
        </w:rPr>
      </w:pPr>
    </w:p>
    <w:sectPr w:rsidR="00685459" w:rsidSect="00031F53">
      <w:headerReference w:type="default" r:id="rId14"/>
      <w:footerReference w:type="default" r:id="rId15"/>
      <w:pgSz w:w="11910" w:h="16840"/>
      <w:pgMar w:top="1260" w:right="1080" w:bottom="1170" w:left="540" w:header="540" w:footer="57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379A" w:rsidRDefault="0034379A">
      <w:r>
        <w:separator/>
      </w:r>
    </w:p>
  </w:endnote>
  <w:endnote w:type="continuationSeparator" w:id="0">
    <w:p w:rsidR="0034379A" w:rsidRDefault="0034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altName w:val="IBM Plex Sans"/>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5CF0" w:rsidRDefault="00966FE6">
    <w:pPr>
      <w:pStyle w:val="BodyText"/>
      <w:spacing w:line="14" w:lineRule="auto"/>
      <w:rPr>
        <w:sz w:val="20"/>
      </w:rPr>
    </w:pPr>
    <w:r>
      <w:rPr>
        <w:noProof/>
      </w:rPr>
      <mc:AlternateContent>
        <mc:Choice Requires="wps">
          <w:drawing>
            <wp:anchor distT="0" distB="0" distL="114300" distR="114300" simplePos="0" relativeHeight="487497216" behindDoc="1" locked="0" layoutInCell="1" allowOverlap="1" wp14:anchorId="02E8C98B" wp14:editId="5C4F6BC2">
              <wp:simplePos x="0" y="0"/>
              <wp:positionH relativeFrom="page">
                <wp:posOffset>901700</wp:posOffset>
              </wp:positionH>
              <wp:positionV relativeFrom="page">
                <wp:posOffset>10187305</wp:posOffset>
              </wp:positionV>
              <wp:extent cx="3207385" cy="324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CF0" w:rsidRPr="00F716BF" w:rsidRDefault="008E3F1D">
                          <w:pPr>
                            <w:pStyle w:val="BodyText"/>
                            <w:spacing w:line="245" w:lineRule="exact"/>
                            <w:ind w:left="20"/>
                            <w:rPr>
                              <w:rFonts w:ascii="IBM Plex Sans" w:hAnsi="IBM Plex Sans"/>
                              <w:sz w:val="18"/>
                              <w:szCs w:val="18"/>
                            </w:rPr>
                          </w:pPr>
                          <w:proofErr w:type="gramStart"/>
                          <w:r w:rsidRPr="00F716BF">
                            <w:rPr>
                              <w:rFonts w:ascii="IBM Plex Sans" w:hAnsi="IBM Plex Sans"/>
                              <w:sz w:val="18"/>
                              <w:szCs w:val="18"/>
                            </w:rPr>
                            <w:t>Email :</w:t>
                          </w:r>
                          <w:proofErr w:type="gramEnd"/>
                          <w:r w:rsidRPr="00F716BF">
                            <w:rPr>
                              <w:rFonts w:ascii="IBM Plex Sans" w:hAnsi="IBM Plex Sans"/>
                              <w:sz w:val="18"/>
                              <w:szCs w:val="18"/>
                            </w:rPr>
                            <w:t xml:space="preserve"> </w:t>
                          </w:r>
                          <w:hyperlink r:id="rId1">
                            <w:r w:rsidRPr="00F716BF">
                              <w:rPr>
                                <w:rFonts w:ascii="IBM Plex Sans" w:hAnsi="IBM Plex Sans"/>
                                <w:color w:val="0000FF"/>
                                <w:sz w:val="18"/>
                                <w:szCs w:val="18"/>
                                <w:u w:val="single" w:color="0000FF"/>
                              </w:rPr>
                              <w:t>msm@nse.co.in</w:t>
                            </w:r>
                          </w:hyperlink>
                          <w:r w:rsidRPr="00F716BF">
                            <w:rPr>
                              <w:rFonts w:ascii="IBM Plex Sans" w:hAnsi="IBM Plex Sans"/>
                              <w:sz w:val="18"/>
                              <w:szCs w:val="18"/>
                            </w:rPr>
                            <w:t>; Toll Free : 1800 266 0050</w:t>
                          </w:r>
                          <w:r w:rsidR="007244ED" w:rsidRPr="00F716BF">
                            <w:rPr>
                              <w:rFonts w:ascii="IBM Plex Sans" w:hAnsi="IBM Plex Sans"/>
                              <w:sz w:val="18"/>
                              <w:szCs w:val="18"/>
                            </w:rPr>
                            <w:t xml:space="preserve"> (Option 1)</w:t>
                          </w:r>
                        </w:p>
                        <w:p w:rsidR="00665CF0" w:rsidRPr="00F716BF" w:rsidRDefault="00665CF0">
                          <w:pPr>
                            <w:spacing w:before="5"/>
                            <w:ind w:left="4039"/>
                            <w:rPr>
                              <w:rFonts w:ascii="IBM Plex Sans" w:hAnsi="IBM Plex San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8C98B" id="_x0000_t202" coordsize="21600,21600" o:spt="202" path="m,l,21600r21600,l21600,xe">
              <v:stroke joinstyle="miter"/>
              <v:path gradientshapeok="t" o:connecttype="rect"/>
            </v:shapetype>
            <v:shape id="Text Box 2" o:spid="_x0000_s1029" type="#_x0000_t202" style="position:absolute;margin-left:71pt;margin-top:802.15pt;width:252.55pt;height:25.5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" filled="f" stroked="f">
              <v:textbox inset="0,0,0,0">
                <w:txbxContent>
                  <w:p w:rsidR="00665CF0" w:rsidRPr="00F716BF" w:rsidRDefault="008E3F1D">
                    <w:pPr>
                      <w:pStyle w:val="BodyText"/>
                      <w:spacing w:line="245" w:lineRule="exact"/>
                      <w:ind w:left="20"/>
                      <w:rPr>
                        <w:rFonts w:ascii="IBM Plex Sans" w:hAnsi="IBM Plex Sans"/>
                        <w:sz w:val="18"/>
                        <w:szCs w:val="18"/>
                      </w:rPr>
                    </w:pPr>
                    <w:proofErr w:type="gramStart"/>
                    <w:r w:rsidRPr="00F716BF">
                      <w:rPr>
                        <w:rFonts w:ascii="IBM Plex Sans" w:hAnsi="IBM Plex Sans"/>
                        <w:sz w:val="18"/>
                        <w:szCs w:val="18"/>
                      </w:rPr>
                      <w:t>Email :</w:t>
                    </w:r>
                    <w:proofErr w:type="gramEnd"/>
                    <w:r w:rsidRPr="00F716BF">
                      <w:rPr>
                        <w:rFonts w:ascii="IBM Plex Sans" w:hAnsi="IBM Plex Sans"/>
                        <w:sz w:val="18"/>
                        <w:szCs w:val="18"/>
                      </w:rPr>
                      <w:t xml:space="preserve"> </w:t>
                    </w:r>
                    <w:hyperlink r:id="rId2">
                      <w:r w:rsidRPr="00F716BF">
                        <w:rPr>
                          <w:rFonts w:ascii="IBM Plex Sans" w:hAnsi="IBM Plex Sans"/>
                          <w:color w:val="0000FF"/>
                          <w:sz w:val="18"/>
                          <w:szCs w:val="18"/>
                          <w:u w:val="single" w:color="0000FF"/>
                        </w:rPr>
                        <w:t>msm@nse.co.in</w:t>
                      </w:r>
                    </w:hyperlink>
                    <w:r w:rsidRPr="00F716BF">
                      <w:rPr>
                        <w:rFonts w:ascii="IBM Plex Sans" w:hAnsi="IBM Plex Sans"/>
                        <w:sz w:val="18"/>
                        <w:szCs w:val="18"/>
                      </w:rPr>
                      <w:t>; Toll Free : 1800 266 0050</w:t>
                    </w:r>
                    <w:r w:rsidR="007244ED" w:rsidRPr="00F716BF">
                      <w:rPr>
                        <w:rFonts w:ascii="IBM Plex Sans" w:hAnsi="IBM Plex Sans"/>
                        <w:sz w:val="18"/>
                        <w:szCs w:val="18"/>
                      </w:rPr>
                      <w:t xml:space="preserve"> (Option 1)</w:t>
                    </w:r>
                  </w:p>
                  <w:p w:rsidR="00665CF0" w:rsidRPr="00F716BF" w:rsidRDefault="00665CF0">
                    <w:pPr>
                      <w:spacing w:before="5"/>
                      <w:ind w:left="4039"/>
                      <w:rPr>
                        <w:rFonts w:ascii="IBM Plex Sans" w:hAnsi="IBM Plex Sans"/>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487497728" behindDoc="1" locked="0" layoutInCell="1" allowOverlap="1" wp14:anchorId="37888FBF" wp14:editId="2F5FEA44">
              <wp:simplePos x="0" y="0"/>
              <wp:positionH relativeFrom="page">
                <wp:posOffset>6153150</wp:posOffset>
              </wp:positionH>
              <wp:positionV relativeFrom="page">
                <wp:posOffset>10187305</wp:posOffset>
              </wp:positionV>
              <wp:extent cx="6515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CF0" w:rsidRPr="00F716BF" w:rsidRDefault="008E3F1D">
                          <w:pPr>
                            <w:spacing w:line="245" w:lineRule="exact"/>
                            <w:ind w:left="20"/>
                            <w:rPr>
                              <w:rFonts w:ascii="IBM Plex Sans" w:hAnsi="IBM Plex Sans"/>
                              <w:b/>
                              <w:sz w:val="18"/>
                              <w:szCs w:val="18"/>
                            </w:rPr>
                          </w:pPr>
                          <w:r w:rsidRPr="00F716BF">
                            <w:rPr>
                              <w:rFonts w:ascii="IBM Plex Sans" w:hAnsi="IBM Plex Sans"/>
                              <w:sz w:val="18"/>
                              <w:szCs w:val="18"/>
                            </w:rPr>
                            <w:t xml:space="preserve">Page </w:t>
                          </w:r>
                          <w:r w:rsidRPr="00F716BF">
                            <w:rPr>
                              <w:rFonts w:ascii="IBM Plex Sans" w:hAnsi="IBM Plex Sans"/>
                              <w:sz w:val="18"/>
                              <w:szCs w:val="18"/>
                            </w:rPr>
                            <w:fldChar w:fldCharType="begin"/>
                          </w:r>
                          <w:r w:rsidRPr="00F716BF">
                            <w:rPr>
                              <w:rFonts w:ascii="IBM Plex Sans" w:hAnsi="IBM Plex Sans"/>
                              <w:b/>
                              <w:sz w:val="18"/>
                              <w:szCs w:val="18"/>
                            </w:rPr>
                            <w:instrText xml:space="preserve"> PAGE </w:instrText>
                          </w:r>
                          <w:r w:rsidRPr="00F716BF">
                            <w:rPr>
                              <w:rFonts w:ascii="IBM Plex Sans" w:hAnsi="IBM Plex Sans"/>
                              <w:sz w:val="18"/>
                              <w:szCs w:val="18"/>
                            </w:rPr>
                            <w:fldChar w:fldCharType="separate"/>
                          </w:r>
                          <w:r w:rsidRPr="00F716BF">
                            <w:rPr>
                              <w:rFonts w:ascii="IBM Plex Sans" w:hAnsi="IBM Plex Sans"/>
                              <w:sz w:val="18"/>
                              <w:szCs w:val="18"/>
                            </w:rPr>
                            <w:t>2</w:t>
                          </w:r>
                          <w:r w:rsidRPr="00F716BF">
                            <w:rPr>
                              <w:rFonts w:ascii="IBM Plex Sans" w:hAnsi="IBM Plex Sans"/>
                              <w:sz w:val="18"/>
                              <w:szCs w:val="18"/>
                            </w:rPr>
                            <w:fldChar w:fldCharType="end"/>
                          </w:r>
                          <w:r w:rsidRPr="00F716BF">
                            <w:rPr>
                              <w:rFonts w:ascii="IBM Plex Sans" w:hAnsi="IBM Plex Sans"/>
                              <w:b/>
                              <w:sz w:val="18"/>
                              <w:szCs w:val="18"/>
                            </w:rPr>
                            <w:t xml:space="preserve"> </w:t>
                          </w:r>
                          <w:r w:rsidRPr="00F716BF">
                            <w:rPr>
                              <w:rFonts w:ascii="IBM Plex Sans" w:hAnsi="IBM Plex Sans"/>
                              <w:sz w:val="18"/>
                              <w:szCs w:val="18"/>
                            </w:rPr>
                            <w:t xml:space="preserve">of </w:t>
                          </w:r>
                          <w:r w:rsidR="00F716BF" w:rsidRPr="00F716BF">
                            <w:rPr>
                              <w:rFonts w:ascii="IBM Plex Sans" w:hAnsi="IBM Plex Sans"/>
                              <w:b/>
                              <w:bCs/>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88FBF" id="Text Box 1" o:spid="_x0000_s1030" type="#_x0000_t202" style="position:absolute;margin-left:484.5pt;margin-top:802.15pt;width:51.3pt;height:13.0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" filled="f" stroked="f">
              <v:textbox inset="0,0,0,0">
                <w:txbxContent>
                  <w:p w:rsidR="00665CF0" w:rsidRPr="00F716BF" w:rsidRDefault="008E3F1D">
                    <w:pPr>
                      <w:spacing w:line="245" w:lineRule="exact"/>
                      <w:ind w:left="20"/>
                      <w:rPr>
                        <w:rFonts w:ascii="IBM Plex Sans" w:hAnsi="IBM Plex Sans"/>
                        <w:b/>
                        <w:sz w:val="18"/>
                        <w:szCs w:val="18"/>
                      </w:rPr>
                    </w:pPr>
                    <w:r w:rsidRPr="00F716BF">
                      <w:rPr>
                        <w:rFonts w:ascii="IBM Plex Sans" w:hAnsi="IBM Plex Sans"/>
                        <w:sz w:val="18"/>
                        <w:szCs w:val="18"/>
                      </w:rPr>
                      <w:t xml:space="preserve">Page </w:t>
                    </w:r>
                    <w:r w:rsidRPr="00F716BF">
                      <w:rPr>
                        <w:rFonts w:ascii="IBM Plex Sans" w:hAnsi="IBM Plex Sans"/>
                        <w:sz w:val="18"/>
                        <w:szCs w:val="18"/>
                      </w:rPr>
                      <w:fldChar w:fldCharType="begin"/>
                    </w:r>
                    <w:r w:rsidRPr="00F716BF">
                      <w:rPr>
                        <w:rFonts w:ascii="IBM Plex Sans" w:hAnsi="IBM Plex Sans"/>
                        <w:b/>
                        <w:sz w:val="18"/>
                        <w:szCs w:val="18"/>
                      </w:rPr>
                      <w:instrText xml:space="preserve"> PAGE </w:instrText>
                    </w:r>
                    <w:r w:rsidRPr="00F716BF">
                      <w:rPr>
                        <w:rFonts w:ascii="IBM Plex Sans" w:hAnsi="IBM Plex Sans"/>
                        <w:sz w:val="18"/>
                        <w:szCs w:val="18"/>
                      </w:rPr>
                      <w:fldChar w:fldCharType="separate"/>
                    </w:r>
                    <w:r w:rsidRPr="00F716BF">
                      <w:rPr>
                        <w:rFonts w:ascii="IBM Plex Sans" w:hAnsi="IBM Plex Sans"/>
                        <w:sz w:val="18"/>
                        <w:szCs w:val="18"/>
                      </w:rPr>
                      <w:t>2</w:t>
                    </w:r>
                    <w:r w:rsidRPr="00F716BF">
                      <w:rPr>
                        <w:rFonts w:ascii="IBM Plex Sans" w:hAnsi="IBM Plex Sans"/>
                        <w:sz w:val="18"/>
                        <w:szCs w:val="18"/>
                      </w:rPr>
                      <w:fldChar w:fldCharType="end"/>
                    </w:r>
                    <w:r w:rsidRPr="00F716BF">
                      <w:rPr>
                        <w:rFonts w:ascii="IBM Plex Sans" w:hAnsi="IBM Plex Sans"/>
                        <w:b/>
                        <w:sz w:val="18"/>
                        <w:szCs w:val="18"/>
                      </w:rPr>
                      <w:t xml:space="preserve"> </w:t>
                    </w:r>
                    <w:r w:rsidRPr="00F716BF">
                      <w:rPr>
                        <w:rFonts w:ascii="IBM Plex Sans" w:hAnsi="IBM Plex Sans"/>
                        <w:sz w:val="18"/>
                        <w:szCs w:val="18"/>
                      </w:rPr>
                      <w:t xml:space="preserve">of </w:t>
                    </w:r>
                    <w:r w:rsidR="00F716BF" w:rsidRPr="00F716BF">
                      <w:rPr>
                        <w:rFonts w:ascii="IBM Plex Sans" w:hAnsi="IBM Plex Sans"/>
                        <w:b/>
                        <w:bCs/>
                        <w:sz w:val="18"/>
                        <w:szCs w:val="18"/>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379A" w:rsidRDefault="0034379A">
      <w:r>
        <w:separator/>
      </w:r>
    </w:p>
  </w:footnote>
  <w:footnote w:type="continuationSeparator" w:id="0">
    <w:p w:rsidR="0034379A" w:rsidRDefault="0034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2F82" w:rsidRDefault="00B02F82">
    <w:pPr>
      <w:pStyle w:val="Header"/>
    </w:pPr>
    <w:r w:rsidRPr="00305D76">
      <w:rPr>
        <w:rFonts w:ascii="IBM Plex Sans" w:hAnsi="IBM Plex Sans"/>
        <w:noProof/>
        <w:sz w:val="20"/>
      </w:rPr>
      <w:drawing>
        <wp:inline distT="0" distB="0" distL="0" distR="0" wp14:anchorId="278B13E9" wp14:editId="1D87A39E">
          <wp:extent cx="1250286" cy="425196"/>
          <wp:effectExtent l="0" t="0" r="0" b="0"/>
          <wp:docPr id="34" name="image1.png"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Icon&#10;&#10;Description automatically generated with medium confidence"/>
                  <pic:cNvPicPr/>
                </pic:nvPicPr>
                <pic:blipFill>
                  <a:blip r:embed="rId1" cstate="print"/>
                  <a:stretch>
                    <a:fillRect/>
                  </a:stretch>
                </pic:blipFill>
                <pic:spPr>
                  <a:xfrm>
                    <a:off x="0" y="0"/>
                    <a:ext cx="1250286" cy="425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406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8AEB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369BE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2382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625F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22F0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62ED6"/>
    <w:multiLevelType w:val="hybridMultilevel"/>
    <w:tmpl w:val="026C256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BE017F3"/>
    <w:multiLevelType w:val="hybridMultilevel"/>
    <w:tmpl w:val="F91413E8"/>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F94392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CD9419"/>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41786E"/>
    <w:multiLevelType w:val="hybridMultilevel"/>
    <w:tmpl w:val="D24E7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3F7B39"/>
    <w:multiLevelType w:val="hybridMultilevel"/>
    <w:tmpl w:val="4B6A7332"/>
    <w:lvl w:ilvl="0" w:tplc="CBA05428">
      <w:start w:val="1"/>
      <w:numFmt w:val="decimal"/>
      <w:lvlText w:val="%1."/>
      <w:lvlJc w:val="left"/>
      <w:pPr>
        <w:ind w:left="1739" w:hanging="360"/>
      </w:pPr>
      <w:rPr>
        <w:rFonts w:ascii="IBM Plex Sans" w:hAnsi="IBM Plex Sans" w:hint="default"/>
        <w:sz w:val="22"/>
        <w:szCs w:val="22"/>
      </w:rPr>
    </w:lvl>
    <w:lvl w:ilvl="1" w:tplc="04090019">
      <w:start w:val="1"/>
      <w:numFmt w:val="lowerLetter"/>
      <w:lvlText w:val="%2."/>
      <w:lvlJc w:val="left"/>
      <w:pPr>
        <w:ind w:left="2459" w:hanging="360"/>
      </w:pPr>
    </w:lvl>
    <w:lvl w:ilvl="2" w:tplc="0409001B" w:tentative="1">
      <w:start w:val="1"/>
      <w:numFmt w:val="lowerRoman"/>
      <w:lvlText w:val="%3."/>
      <w:lvlJc w:val="right"/>
      <w:pPr>
        <w:ind w:left="3179" w:hanging="180"/>
      </w:pPr>
    </w:lvl>
    <w:lvl w:ilvl="3" w:tplc="0409000F" w:tentative="1">
      <w:start w:val="1"/>
      <w:numFmt w:val="decimal"/>
      <w:lvlText w:val="%4."/>
      <w:lvlJc w:val="left"/>
      <w:pPr>
        <w:ind w:left="3899" w:hanging="360"/>
      </w:pPr>
    </w:lvl>
    <w:lvl w:ilvl="4" w:tplc="04090019" w:tentative="1">
      <w:start w:val="1"/>
      <w:numFmt w:val="lowerLetter"/>
      <w:lvlText w:val="%5."/>
      <w:lvlJc w:val="left"/>
      <w:pPr>
        <w:ind w:left="4619" w:hanging="360"/>
      </w:pPr>
    </w:lvl>
    <w:lvl w:ilvl="5" w:tplc="0409001B" w:tentative="1">
      <w:start w:val="1"/>
      <w:numFmt w:val="lowerRoman"/>
      <w:lvlText w:val="%6."/>
      <w:lvlJc w:val="right"/>
      <w:pPr>
        <w:ind w:left="5339" w:hanging="180"/>
      </w:pPr>
    </w:lvl>
    <w:lvl w:ilvl="6" w:tplc="0409000F" w:tentative="1">
      <w:start w:val="1"/>
      <w:numFmt w:val="decimal"/>
      <w:lvlText w:val="%7."/>
      <w:lvlJc w:val="left"/>
      <w:pPr>
        <w:ind w:left="6059" w:hanging="360"/>
      </w:pPr>
    </w:lvl>
    <w:lvl w:ilvl="7" w:tplc="04090019" w:tentative="1">
      <w:start w:val="1"/>
      <w:numFmt w:val="lowerLetter"/>
      <w:lvlText w:val="%8."/>
      <w:lvlJc w:val="left"/>
      <w:pPr>
        <w:ind w:left="6779" w:hanging="360"/>
      </w:pPr>
    </w:lvl>
    <w:lvl w:ilvl="8" w:tplc="0409001B" w:tentative="1">
      <w:start w:val="1"/>
      <w:numFmt w:val="lowerRoman"/>
      <w:lvlText w:val="%9."/>
      <w:lvlJc w:val="right"/>
      <w:pPr>
        <w:ind w:left="7499" w:hanging="180"/>
      </w:pPr>
    </w:lvl>
  </w:abstractNum>
  <w:abstractNum w:abstractNumId="12" w15:restartNumberingAfterBreak="0">
    <w:nsid w:val="2AFC503F"/>
    <w:multiLevelType w:val="hybridMultilevel"/>
    <w:tmpl w:val="A3A0E3B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63A0F50"/>
    <w:multiLevelType w:val="hybridMultilevel"/>
    <w:tmpl w:val="229284FC"/>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3BE336F2"/>
    <w:multiLevelType w:val="hybridMultilevel"/>
    <w:tmpl w:val="45CE7AA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C0B23B7"/>
    <w:multiLevelType w:val="hybridMultilevel"/>
    <w:tmpl w:val="D1EA943E"/>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C485749"/>
    <w:multiLevelType w:val="hybridMultilevel"/>
    <w:tmpl w:val="A7201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222F43"/>
    <w:multiLevelType w:val="hybridMultilevel"/>
    <w:tmpl w:val="A2B213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16A435B"/>
    <w:multiLevelType w:val="hybridMultilevel"/>
    <w:tmpl w:val="8F2CF49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45256076"/>
    <w:multiLevelType w:val="hybridMultilevel"/>
    <w:tmpl w:val="F084A9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65C0940"/>
    <w:multiLevelType w:val="hybridMultilevel"/>
    <w:tmpl w:val="F43AFCA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C687F64"/>
    <w:multiLevelType w:val="hybridMultilevel"/>
    <w:tmpl w:val="F2A67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DC70EF9"/>
    <w:multiLevelType w:val="hybridMultilevel"/>
    <w:tmpl w:val="4CA25C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C733F7"/>
    <w:multiLevelType w:val="hybridMultilevel"/>
    <w:tmpl w:val="98D46840"/>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588954C8"/>
    <w:multiLevelType w:val="hybridMultilevel"/>
    <w:tmpl w:val="6706EA7E"/>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5C282E4F"/>
    <w:multiLevelType w:val="hybridMultilevel"/>
    <w:tmpl w:val="903E3E44"/>
    <w:lvl w:ilvl="0" w:tplc="358CA09E">
      <w:start w:val="1"/>
      <w:numFmt w:val="decimal"/>
      <w:lvlText w:val="%1."/>
      <w:lvlJc w:val="left"/>
      <w:pPr>
        <w:ind w:left="1270" w:hanging="251"/>
      </w:pPr>
      <w:rPr>
        <w:rFonts w:ascii="Arial" w:eastAsia="Arial" w:hAnsi="Arial" w:cs="Arial" w:hint="default"/>
        <w:b/>
        <w:bCs/>
        <w:spacing w:val="0"/>
        <w:w w:val="100"/>
        <w:sz w:val="22"/>
        <w:szCs w:val="22"/>
        <w:lang w:val="en-US" w:eastAsia="en-US" w:bidi="ar-SA"/>
      </w:rPr>
    </w:lvl>
    <w:lvl w:ilvl="1" w:tplc="38E2A71C">
      <w:start w:val="1"/>
      <w:numFmt w:val="decimal"/>
      <w:lvlText w:val="%2."/>
      <w:lvlJc w:val="left"/>
      <w:pPr>
        <w:ind w:left="1741" w:hanging="361"/>
      </w:pPr>
      <w:rPr>
        <w:rFonts w:ascii="Arial" w:eastAsia="Arial" w:hAnsi="Arial" w:cs="Arial" w:hint="default"/>
        <w:spacing w:val="0"/>
        <w:w w:val="100"/>
        <w:sz w:val="22"/>
        <w:szCs w:val="22"/>
        <w:lang w:val="en-US" w:eastAsia="en-US" w:bidi="ar-SA"/>
      </w:rPr>
    </w:lvl>
    <w:lvl w:ilvl="2" w:tplc="6E4E40F6">
      <w:numFmt w:val="bullet"/>
      <w:lvlText w:val="•"/>
      <w:lvlJc w:val="left"/>
      <w:pPr>
        <w:ind w:left="2702" w:hanging="361"/>
      </w:pPr>
      <w:rPr>
        <w:rFonts w:hint="default"/>
        <w:lang w:val="en-US" w:eastAsia="en-US" w:bidi="ar-SA"/>
      </w:rPr>
    </w:lvl>
    <w:lvl w:ilvl="3" w:tplc="746255B4">
      <w:numFmt w:val="bullet"/>
      <w:lvlText w:val="•"/>
      <w:lvlJc w:val="left"/>
      <w:pPr>
        <w:ind w:left="3665" w:hanging="361"/>
      </w:pPr>
      <w:rPr>
        <w:rFonts w:hint="default"/>
        <w:lang w:val="en-US" w:eastAsia="en-US" w:bidi="ar-SA"/>
      </w:rPr>
    </w:lvl>
    <w:lvl w:ilvl="4" w:tplc="2FF073EA">
      <w:numFmt w:val="bullet"/>
      <w:lvlText w:val="•"/>
      <w:lvlJc w:val="left"/>
      <w:pPr>
        <w:ind w:left="4628" w:hanging="361"/>
      </w:pPr>
      <w:rPr>
        <w:rFonts w:hint="default"/>
        <w:lang w:val="en-US" w:eastAsia="en-US" w:bidi="ar-SA"/>
      </w:rPr>
    </w:lvl>
    <w:lvl w:ilvl="5" w:tplc="69CE93EC">
      <w:numFmt w:val="bullet"/>
      <w:lvlText w:val="•"/>
      <w:lvlJc w:val="left"/>
      <w:pPr>
        <w:ind w:left="5590" w:hanging="361"/>
      </w:pPr>
      <w:rPr>
        <w:rFonts w:hint="default"/>
        <w:lang w:val="en-US" w:eastAsia="en-US" w:bidi="ar-SA"/>
      </w:rPr>
    </w:lvl>
    <w:lvl w:ilvl="6" w:tplc="57642E9A">
      <w:numFmt w:val="bullet"/>
      <w:lvlText w:val="•"/>
      <w:lvlJc w:val="left"/>
      <w:pPr>
        <w:ind w:left="6553" w:hanging="361"/>
      </w:pPr>
      <w:rPr>
        <w:rFonts w:hint="default"/>
        <w:lang w:val="en-US" w:eastAsia="en-US" w:bidi="ar-SA"/>
      </w:rPr>
    </w:lvl>
    <w:lvl w:ilvl="7" w:tplc="47CE0B94">
      <w:numFmt w:val="bullet"/>
      <w:lvlText w:val="•"/>
      <w:lvlJc w:val="left"/>
      <w:pPr>
        <w:ind w:left="7516" w:hanging="361"/>
      </w:pPr>
      <w:rPr>
        <w:rFonts w:hint="default"/>
        <w:lang w:val="en-US" w:eastAsia="en-US" w:bidi="ar-SA"/>
      </w:rPr>
    </w:lvl>
    <w:lvl w:ilvl="8" w:tplc="8864C922">
      <w:numFmt w:val="bullet"/>
      <w:lvlText w:val="•"/>
      <w:lvlJc w:val="left"/>
      <w:pPr>
        <w:ind w:left="8478" w:hanging="361"/>
      </w:pPr>
      <w:rPr>
        <w:rFonts w:hint="default"/>
        <w:lang w:val="en-US" w:eastAsia="en-US" w:bidi="ar-SA"/>
      </w:rPr>
    </w:lvl>
  </w:abstractNum>
  <w:abstractNum w:abstractNumId="26" w15:restartNumberingAfterBreak="0">
    <w:nsid w:val="60AFD315"/>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C375240"/>
    <w:multiLevelType w:val="hybridMultilevel"/>
    <w:tmpl w:val="66C40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0D3EE7"/>
    <w:multiLevelType w:val="hybridMultilevel"/>
    <w:tmpl w:val="BA7A6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5AC1086"/>
    <w:multiLevelType w:val="hybridMultilevel"/>
    <w:tmpl w:val="51886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AE62CAD"/>
    <w:multiLevelType w:val="hybridMultilevel"/>
    <w:tmpl w:val="5518EA2C"/>
    <w:lvl w:ilvl="0" w:tplc="34028F90">
      <w:start w:val="1"/>
      <w:numFmt w:val="lowerLetter"/>
      <w:lvlText w:val="%1)"/>
      <w:lvlJc w:val="left"/>
      <w:pPr>
        <w:ind w:left="1741" w:hanging="361"/>
      </w:pPr>
      <w:rPr>
        <w:rFonts w:ascii="Arial" w:eastAsia="Arial" w:hAnsi="Arial" w:cs="Arial" w:hint="default"/>
        <w:spacing w:val="0"/>
        <w:w w:val="100"/>
        <w:sz w:val="22"/>
        <w:szCs w:val="22"/>
        <w:lang w:val="en-US" w:eastAsia="en-US" w:bidi="ar-SA"/>
      </w:rPr>
    </w:lvl>
    <w:lvl w:ilvl="1" w:tplc="0792E3BA">
      <w:numFmt w:val="bullet"/>
      <w:lvlText w:val="•"/>
      <w:lvlJc w:val="left"/>
      <w:pPr>
        <w:ind w:left="2606" w:hanging="361"/>
      </w:pPr>
      <w:rPr>
        <w:rFonts w:hint="default"/>
        <w:lang w:val="en-US" w:eastAsia="en-US" w:bidi="ar-SA"/>
      </w:rPr>
    </w:lvl>
    <w:lvl w:ilvl="2" w:tplc="1BBC6454">
      <w:numFmt w:val="bullet"/>
      <w:lvlText w:val="•"/>
      <w:lvlJc w:val="left"/>
      <w:pPr>
        <w:ind w:left="3472" w:hanging="361"/>
      </w:pPr>
      <w:rPr>
        <w:rFonts w:hint="default"/>
        <w:lang w:val="en-US" w:eastAsia="en-US" w:bidi="ar-SA"/>
      </w:rPr>
    </w:lvl>
    <w:lvl w:ilvl="3" w:tplc="53BE3220">
      <w:numFmt w:val="bullet"/>
      <w:lvlText w:val="•"/>
      <w:lvlJc w:val="left"/>
      <w:pPr>
        <w:ind w:left="4339" w:hanging="361"/>
      </w:pPr>
      <w:rPr>
        <w:rFonts w:hint="default"/>
        <w:lang w:val="en-US" w:eastAsia="en-US" w:bidi="ar-SA"/>
      </w:rPr>
    </w:lvl>
    <w:lvl w:ilvl="4" w:tplc="65A28D06">
      <w:numFmt w:val="bullet"/>
      <w:lvlText w:val="•"/>
      <w:lvlJc w:val="left"/>
      <w:pPr>
        <w:ind w:left="5205" w:hanging="361"/>
      </w:pPr>
      <w:rPr>
        <w:rFonts w:hint="default"/>
        <w:lang w:val="en-US" w:eastAsia="en-US" w:bidi="ar-SA"/>
      </w:rPr>
    </w:lvl>
    <w:lvl w:ilvl="5" w:tplc="B6DA3B34">
      <w:numFmt w:val="bullet"/>
      <w:lvlText w:val="•"/>
      <w:lvlJc w:val="left"/>
      <w:pPr>
        <w:ind w:left="6072" w:hanging="361"/>
      </w:pPr>
      <w:rPr>
        <w:rFonts w:hint="default"/>
        <w:lang w:val="en-US" w:eastAsia="en-US" w:bidi="ar-SA"/>
      </w:rPr>
    </w:lvl>
    <w:lvl w:ilvl="6" w:tplc="B7B29C7E">
      <w:numFmt w:val="bullet"/>
      <w:lvlText w:val="•"/>
      <w:lvlJc w:val="left"/>
      <w:pPr>
        <w:ind w:left="6938" w:hanging="361"/>
      </w:pPr>
      <w:rPr>
        <w:rFonts w:hint="default"/>
        <w:lang w:val="en-US" w:eastAsia="en-US" w:bidi="ar-SA"/>
      </w:rPr>
    </w:lvl>
    <w:lvl w:ilvl="7" w:tplc="2EA4B4F8">
      <w:numFmt w:val="bullet"/>
      <w:lvlText w:val="•"/>
      <w:lvlJc w:val="left"/>
      <w:pPr>
        <w:ind w:left="7804" w:hanging="361"/>
      </w:pPr>
      <w:rPr>
        <w:rFonts w:hint="default"/>
        <w:lang w:val="en-US" w:eastAsia="en-US" w:bidi="ar-SA"/>
      </w:rPr>
    </w:lvl>
    <w:lvl w:ilvl="8" w:tplc="1796563A">
      <w:numFmt w:val="bullet"/>
      <w:lvlText w:val="•"/>
      <w:lvlJc w:val="left"/>
      <w:pPr>
        <w:ind w:left="8671" w:hanging="361"/>
      </w:pPr>
      <w:rPr>
        <w:rFonts w:hint="default"/>
        <w:lang w:val="en-US" w:eastAsia="en-US" w:bidi="ar-SA"/>
      </w:rPr>
    </w:lvl>
  </w:abstractNum>
  <w:num w:numId="1" w16cid:durableId="728960935">
    <w:abstractNumId w:val="30"/>
  </w:num>
  <w:num w:numId="2" w16cid:durableId="8483004">
    <w:abstractNumId w:val="25"/>
  </w:num>
  <w:num w:numId="3" w16cid:durableId="1043483116">
    <w:abstractNumId w:val="11"/>
  </w:num>
  <w:num w:numId="4" w16cid:durableId="1938054655">
    <w:abstractNumId w:val="15"/>
  </w:num>
  <w:num w:numId="5" w16cid:durableId="1219127749">
    <w:abstractNumId w:val="6"/>
  </w:num>
  <w:num w:numId="6" w16cid:durableId="1891962269">
    <w:abstractNumId w:val="20"/>
  </w:num>
  <w:num w:numId="7" w16cid:durableId="55320500">
    <w:abstractNumId w:val="14"/>
  </w:num>
  <w:num w:numId="8" w16cid:durableId="1959410048">
    <w:abstractNumId w:val="13"/>
  </w:num>
  <w:num w:numId="9" w16cid:durableId="401951910">
    <w:abstractNumId w:val="7"/>
  </w:num>
  <w:num w:numId="10" w16cid:durableId="918170340">
    <w:abstractNumId w:val="23"/>
  </w:num>
  <w:num w:numId="11" w16cid:durableId="785856570">
    <w:abstractNumId w:val="24"/>
  </w:num>
  <w:num w:numId="12" w16cid:durableId="1570917946">
    <w:abstractNumId w:val="5"/>
  </w:num>
  <w:num w:numId="13" w16cid:durableId="1323464705">
    <w:abstractNumId w:val="3"/>
  </w:num>
  <w:num w:numId="14" w16cid:durableId="355617797">
    <w:abstractNumId w:val="4"/>
  </w:num>
  <w:num w:numId="15" w16cid:durableId="364868573">
    <w:abstractNumId w:val="0"/>
  </w:num>
  <w:num w:numId="16" w16cid:durableId="1053116705">
    <w:abstractNumId w:val="21"/>
  </w:num>
  <w:num w:numId="17" w16cid:durableId="848761501">
    <w:abstractNumId w:val="16"/>
  </w:num>
  <w:num w:numId="18" w16cid:durableId="2102872318">
    <w:abstractNumId w:val="29"/>
  </w:num>
  <w:num w:numId="19" w16cid:durableId="1652440483">
    <w:abstractNumId w:val="26"/>
  </w:num>
  <w:num w:numId="20" w16cid:durableId="814299200">
    <w:abstractNumId w:val="8"/>
  </w:num>
  <w:num w:numId="21" w16cid:durableId="808209200">
    <w:abstractNumId w:val="1"/>
  </w:num>
  <w:num w:numId="22" w16cid:durableId="856695493">
    <w:abstractNumId w:val="2"/>
  </w:num>
  <w:num w:numId="23" w16cid:durableId="2079404265">
    <w:abstractNumId w:val="10"/>
  </w:num>
  <w:num w:numId="24" w16cid:durableId="958072754">
    <w:abstractNumId w:val="27"/>
  </w:num>
  <w:num w:numId="25" w16cid:durableId="499855130">
    <w:abstractNumId w:val="17"/>
  </w:num>
  <w:num w:numId="26" w16cid:durableId="1858419019">
    <w:abstractNumId w:val="12"/>
  </w:num>
  <w:num w:numId="27" w16cid:durableId="1450054125">
    <w:abstractNumId w:val="28"/>
  </w:num>
  <w:num w:numId="28" w16cid:durableId="1639650943">
    <w:abstractNumId w:val="18"/>
  </w:num>
  <w:num w:numId="29" w16cid:durableId="999120510">
    <w:abstractNumId w:val="19"/>
  </w:num>
  <w:num w:numId="30" w16cid:durableId="1834711973">
    <w:abstractNumId w:val="22"/>
  </w:num>
  <w:num w:numId="31" w16cid:durableId="251861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F0"/>
    <w:rsid w:val="000078A4"/>
    <w:rsid w:val="00031F53"/>
    <w:rsid w:val="00044EEE"/>
    <w:rsid w:val="000B3058"/>
    <w:rsid w:val="000E7FB0"/>
    <w:rsid w:val="000F7EB0"/>
    <w:rsid w:val="00150209"/>
    <w:rsid w:val="00192D3E"/>
    <w:rsid w:val="001C6227"/>
    <w:rsid w:val="001C6F04"/>
    <w:rsid w:val="001E300F"/>
    <w:rsid w:val="00226503"/>
    <w:rsid w:val="00227B94"/>
    <w:rsid w:val="002B008B"/>
    <w:rsid w:val="002B2016"/>
    <w:rsid w:val="002D1F72"/>
    <w:rsid w:val="002E2A0B"/>
    <w:rsid w:val="002E4430"/>
    <w:rsid w:val="002F18D3"/>
    <w:rsid w:val="00322E34"/>
    <w:rsid w:val="0034379A"/>
    <w:rsid w:val="0034469D"/>
    <w:rsid w:val="0039410C"/>
    <w:rsid w:val="003C0F80"/>
    <w:rsid w:val="003F6973"/>
    <w:rsid w:val="004340C3"/>
    <w:rsid w:val="00465B0F"/>
    <w:rsid w:val="00492A90"/>
    <w:rsid w:val="004C2133"/>
    <w:rsid w:val="004E0869"/>
    <w:rsid w:val="005A0DBB"/>
    <w:rsid w:val="005B0965"/>
    <w:rsid w:val="005B2D74"/>
    <w:rsid w:val="005C12CD"/>
    <w:rsid w:val="00665CF0"/>
    <w:rsid w:val="00685459"/>
    <w:rsid w:val="00691265"/>
    <w:rsid w:val="0069686F"/>
    <w:rsid w:val="006A5520"/>
    <w:rsid w:val="006C3CF6"/>
    <w:rsid w:val="0070665A"/>
    <w:rsid w:val="007244ED"/>
    <w:rsid w:val="00755ABF"/>
    <w:rsid w:val="00862193"/>
    <w:rsid w:val="0087105B"/>
    <w:rsid w:val="00881C6D"/>
    <w:rsid w:val="0088755E"/>
    <w:rsid w:val="008A3E24"/>
    <w:rsid w:val="008B2748"/>
    <w:rsid w:val="008D527D"/>
    <w:rsid w:val="008E3F1D"/>
    <w:rsid w:val="00966FE6"/>
    <w:rsid w:val="009769E5"/>
    <w:rsid w:val="00992E42"/>
    <w:rsid w:val="00AE0B96"/>
    <w:rsid w:val="00B02F82"/>
    <w:rsid w:val="00B336E4"/>
    <w:rsid w:val="00B53BE5"/>
    <w:rsid w:val="00BA7053"/>
    <w:rsid w:val="00BF38E9"/>
    <w:rsid w:val="00C363AE"/>
    <w:rsid w:val="00C6608E"/>
    <w:rsid w:val="00C76737"/>
    <w:rsid w:val="00C975EF"/>
    <w:rsid w:val="00CF1384"/>
    <w:rsid w:val="00D07862"/>
    <w:rsid w:val="00D665E7"/>
    <w:rsid w:val="00DC3F18"/>
    <w:rsid w:val="00DE6CF5"/>
    <w:rsid w:val="00E33B88"/>
    <w:rsid w:val="00E4444B"/>
    <w:rsid w:val="00E609F6"/>
    <w:rsid w:val="00EA06B8"/>
    <w:rsid w:val="00EA4458"/>
    <w:rsid w:val="00ED294C"/>
    <w:rsid w:val="00F10C71"/>
    <w:rsid w:val="00F17F8E"/>
    <w:rsid w:val="00F260DA"/>
    <w:rsid w:val="00F51171"/>
    <w:rsid w:val="00F603F3"/>
    <w:rsid w:val="00F666FA"/>
    <w:rsid w:val="00F716BF"/>
    <w:rsid w:val="00F853B1"/>
    <w:rsid w:val="00FA55AA"/>
    <w:rsid w:val="00FB06AA"/>
    <w:rsid w:val="00FB1B10"/>
    <w:rsid w:val="00FB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A7B3C"/>
  <w15:docId w15:val="{9E10DA06-D303-4C62-9C29-1D19CC75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54" w:right="1757"/>
      <w:jc w:val="center"/>
      <w:outlineLvl w:val="0"/>
    </w:pPr>
    <w:rPr>
      <w:b/>
      <w:bCs/>
      <w:sz w:val="32"/>
      <w:szCs w:val="32"/>
    </w:rPr>
  </w:style>
  <w:style w:type="paragraph" w:styleId="Heading2">
    <w:name w:val="heading 2"/>
    <w:basedOn w:val="Normal"/>
    <w:uiPriority w:val="9"/>
    <w:unhideWhenUsed/>
    <w:qFormat/>
    <w:pPr>
      <w:ind w:left="1270" w:hanging="251"/>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6"/>
      <w:ind w:left="2754" w:right="1854"/>
      <w:jc w:val="center"/>
    </w:pPr>
    <w:rPr>
      <w:b/>
      <w:bCs/>
      <w:sz w:val="40"/>
      <w:szCs w:val="40"/>
    </w:rPr>
  </w:style>
  <w:style w:type="paragraph" w:styleId="ListParagraph">
    <w:name w:val="List Paragraph"/>
    <w:basedOn w:val="Normal"/>
    <w:link w:val="ListParagraphChar"/>
    <w:uiPriority w:val="34"/>
    <w:qFormat/>
    <w:pPr>
      <w:ind w:left="1270" w:hanging="25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2F82"/>
    <w:pPr>
      <w:tabs>
        <w:tab w:val="center" w:pos="4680"/>
        <w:tab w:val="right" w:pos="9360"/>
      </w:tabs>
    </w:pPr>
  </w:style>
  <w:style w:type="character" w:customStyle="1" w:styleId="HeaderChar">
    <w:name w:val="Header Char"/>
    <w:basedOn w:val="DefaultParagraphFont"/>
    <w:link w:val="Header"/>
    <w:uiPriority w:val="99"/>
    <w:rsid w:val="00B02F82"/>
    <w:rPr>
      <w:rFonts w:ascii="Arial" w:eastAsia="Arial" w:hAnsi="Arial" w:cs="Arial"/>
    </w:rPr>
  </w:style>
  <w:style w:type="paragraph" w:styleId="Footer">
    <w:name w:val="footer"/>
    <w:basedOn w:val="Normal"/>
    <w:link w:val="FooterChar"/>
    <w:uiPriority w:val="99"/>
    <w:unhideWhenUsed/>
    <w:rsid w:val="00B02F82"/>
    <w:pPr>
      <w:tabs>
        <w:tab w:val="center" w:pos="4680"/>
        <w:tab w:val="right" w:pos="9360"/>
      </w:tabs>
    </w:pPr>
  </w:style>
  <w:style w:type="character" w:customStyle="1" w:styleId="FooterChar">
    <w:name w:val="Footer Char"/>
    <w:basedOn w:val="DefaultParagraphFont"/>
    <w:link w:val="Footer"/>
    <w:uiPriority w:val="99"/>
    <w:rsid w:val="00B02F82"/>
    <w:rPr>
      <w:rFonts w:ascii="Arial" w:eastAsia="Arial" w:hAnsi="Arial" w:cs="Arial"/>
    </w:rPr>
  </w:style>
  <w:style w:type="paragraph" w:styleId="Revision">
    <w:name w:val="Revision"/>
    <w:hidden/>
    <w:uiPriority w:val="99"/>
    <w:semiHidden/>
    <w:rsid w:val="000B3058"/>
    <w:pPr>
      <w:widowControl/>
      <w:autoSpaceDE/>
      <w:autoSpaceDN/>
    </w:pPr>
    <w:rPr>
      <w:rFonts w:ascii="Arial" w:eastAsia="Arial" w:hAnsi="Arial" w:cs="Arial"/>
    </w:rPr>
  </w:style>
  <w:style w:type="character" w:styleId="Hyperlink">
    <w:name w:val="Hyperlink"/>
    <w:basedOn w:val="DefaultParagraphFont"/>
    <w:uiPriority w:val="99"/>
    <w:unhideWhenUsed/>
    <w:rsid w:val="00FA55AA"/>
    <w:rPr>
      <w:color w:val="0000FF" w:themeColor="hyperlink"/>
      <w:u w:val="single"/>
    </w:rPr>
  </w:style>
  <w:style w:type="character" w:styleId="UnresolvedMention">
    <w:name w:val="Unresolved Mention"/>
    <w:basedOn w:val="DefaultParagraphFont"/>
    <w:uiPriority w:val="99"/>
    <w:semiHidden/>
    <w:unhideWhenUsed/>
    <w:rsid w:val="00FA55AA"/>
    <w:rPr>
      <w:color w:val="605E5C"/>
      <w:shd w:val="clear" w:color="auto" w:fill="E1DFDD"/>
    </w:rPr>
  </w:style>
  <w:style w:type="character" w:styleId="FollowedHyperlink">
    <w:name w:val="FollowedHyperlink"/>
    <w:basedOn w:val="DefaultParagraphFont"/>
    <w:uiPriority w:val="99"/>
    <w:semiHidden/>
    <w:unhideWhenUsed/>
    <w:rsid w:val="00C76737"/>
    <w:rPr>
      <w:color w:val="800080" w:themeColor="followedHyperlink"/>
      <w:u w:val="single"/>
    </w:rPr>
  </w:style>
  <w:style w:type="paragraph" w:styleId="NoSpacing">
    <w:name w:val="No Spacing"/>
    <w:uiPriority w:val="1"/>
    <w:qFormat/>
    <w:rsid w:val="00F51171"/>
    <w:pPr>
      <w:widowControl/>
      <w:autoSpaceDE/>
      <w:autoSpaceDN/>
    </w:pPr>
    <w:rPr>
      <w:lang w:val="en-IN"/>
    </w:rPr>
  </w:style>
  <w:style w:type="character" w:customStyle="1" w:styleId="ListParagraphChar">
    <w:name w:val="List Paragraph Char"/>
    <w:basedOn w:val="DefaultParagraphFont"/>
    <w:link w:val="ListParagraph"/>
    <w:uiPriority w:val="34"/>
    <w:locked/>
    <w:rsid w:val="00F51171"/>
    <w:rPr>
      <w:rFonts w:ascii="Arial" w:eastAsia="Arial" w:hAnsi="Arial" w:cs="Arial"/>
    </w:rPr>
  </w:style>
  <w:style w:type="paragraph" w:customStyle="1" w:styleId="Default">
    <w:name w:val="Default"/>
    <w:rsid w:val="00465B0F"/>
    <w:pPr>
      <w:widowControl/>
      <w:adjustRightInd w:val="0"/>
    </w:pPr>
    <w:rPr>
      <w:rFonts w:ascii="IBM Plex Sans" w:hAnsi="IBM Plex Sans" w:cs="IBM Plex Sans"/>
      <w:color w:val="000000"/>
      <w:sz w:val="24"/>
      <w:szCs w:val="24"/>
      <w:lang w:val="en-IN"/>
    </w:rPr>
  </w:style>
  <w:style w:type="table" w:styleId="TableGrid">
    <w:name w:val="Table Grid"/>
    <w:basedOn w:val="TableNormal"/>
    <w:uiPriority w:val="39"/>
    <w:rsid w:val="0019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92D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seindia.com/trade/platform-services-neat-trading-system-protocols" TargetMode="External"/><Relationship Id="rId13" Type="http://schemas.openxmlformats.org/officeDocument/2006/relationships/hyperlink" Target="mailto:msm@nse.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searchives.nseindia.com/web/sites/default/files/inline-files/MSD61825_2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eindia.com/trade/platform-services-non-neat-empanelled-vendors-of-the-exchan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seindia.com/trade/platform-services-non-neat-empanelled-vendors-of-the-exchange" TargetMode="External"/><Relationship Id="rId4" Type="http://schemas.openxmlformats.org/officeDocument/2006/relationships/settings" Target="settings.xml"/><Relationship Id="rId9" Type="http://schemas.openxmlformats.org/officeDocument/2006/relationships/hyperlink" Target="https://nsearchives.nseindia.com/web/sites/default/files/inline-files/MSD61825_21.zi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sm@nse.co.in" TargetMode="External"/><Relationship Id="rId1" Type="http://schemas.openxmlformats.org/officeDocument/2006/relationships/hyperlink" Target="mailto:msm@nse.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C2257-9F01-47EB-B81E-E2CA6E3C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vdsouza</dc:creator>
  <cp:lastModifiedBy>Unnati  Popat (MSD)</cp:lastModifiedBy>
  <cp:revision>1</cp:revision>
  <cp:lastPrinted>2022-06-30T10:56:00Z</cp:lastPrinted>
  <dcterms:created xsi:type="dcterms:W3CDTF">2024-08-08T09:59:00Z</dcterms:created>
  <dcterms:modified xsi:type="dcterms:W3CDTF">2024-08-08T09:59:00Z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for Office 365</vt:lpwstr>
  </property>
  <property fmtid="{D5CDD505-2E9C-101B-9397-08002B2CF9AE}" pid="4" name="LastSaved">
    <vt:filetime>2022-06-17T00:00:00Z</vt:filetime>
  </property>
  <property fmtid="{D5CDD505-2E9C-101B-9397-08002B2CF9AE}" pid="5" name="MSIP_Label_305f50f5-e953-4c63-867b-388561f41989_Enabled">
    <vt:lpwstr>true</vt:lpwstr>
  </property>
  <property fmtid="{D5CDD505-2E9C-101B-9397-08002B2CF9AE}" pid="6" name="MSIP_Label_305f50f5-e953-4c63-867b-388561f41989_SetDate">
    <vt:lpwstr>2022-06-17T06:51:25Z</vt:lpwstr>
  </property>
  <property fmtid="{D5CDD505-2E9C-101B-9397-08002B2CF9AE}" pid="7" name="MSIP_Label_305f50f5-e953-4c63-867b-388561f41989_Method">
    <vt:lpwstr>Privileged</vt:lpwstr>
  </property>
  <property fmtid="{D5CDD505-2E9C-101B-9397-08002B2CF9AE}" pid="8" name="MSIP_Label_305f50f5-e953-4c63-867b-388561f41989_Name">
    <vt:lpwstr>305f50f5-e953-4c63-867b-388561f41989</vt:lpwstr>
  </property>
  <property fmtid="{D5CDD505-2E9C-101B-9397-08002B2CF9AE}" pid="9" name="MSIP_Label_305f50f5-e953-4c63-867b-388561f41989_SiteId">
    <vt:lpwstr>fb8ed654-3195-4846-ac37-491dc8a2349e</vt:lpwstr>
  </property>
  <property fmtid="{D5CDD505-2E9C-101B-9397-08002B2CF9AE}" pid="10" name="MSIP_Label_305f50f5-e953-4c63-867b-388561f41989_ActionId">
    <vt:lpwstr>5437f211-d394-424b-99ea-a8ce2f8901e9</vt:lpwstr>
  </property>
  <property fmtid="{D5CDD505-2E9C-101B-9397-08002B2CF9AE}" pid="11" name="MSIP_Label_305f50f5-e953-4c63-867b-388561f41989_ContentBits">
    <vt:lpwstr>0</vt:lpwstr>
  </property>
</Properties>
</file>