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8682D" w14:textId="77777777" w:rsidR="008F4CEC" w:rsidRDefault="008F4CEC" w:rsidP="008F4CEC">
      <w:pPr>
        <w:jc w:val="center"/>
        <w:rPr>
          <w:b/>
          <w:sz w:val="28"/>
        </w:rPr>
      </w:pPr>
    </w:p>
    <w:p w14:paraId="2C51401E" w14:textId="77777777" w:rsidR="008F4CEC" w:rsidRDefault="008F4CEC" w:rsidP="008F4CEC">
      <w:pPr>
        <w:jc w:val="center"/>
        <w:rPr>
          <w:b/>
          <w:sz w:val="28"/>
        </w:rPr>
      </w:pPr>
    </w:p>
    <w:p w14:paraId="44159A76" w14:textId="77777777" w:rsidR="008F4CEC" w:rsidRDefault="008F4CEC" w:rsidP="008F4CEC">
      <w:pPr>
        <w:jc w:val="center"/>
        <w:rPr>
          <w:b/>
          <w:sz w:val="28"/>
        </w:rPr>
      </w:pPr>
    </w:p>
    <w:p w14:paraId="0BD3795C" w14:textId="77777777" w:rsidR="001E0CFF" w:rsidRDefault="008F4CEC" w:rsidP="008F4CEC">
      <w:pPr>
        <w:jc w:val="center"/>
        <w:rPr>
          <w:b/>
          <w:sz w:val="28"/>
        </w:rPr>
      </w:pPr>
      <w:r w:rsidRPr="008F4CEC">
        <w:rPr>
          <w:b/>
          <w:sz w:val="28"/>
        </w:rPr>
        <w:t>Disclosure and Shareholder Voting: Evidence from India</w:t>
      </w:r>
      <w:r w:rsidR="00866F25">
        <w:rPr>
          <w:rStyle w:val="FootnoteReference"/>
          <w:b/>
          <w:sz w:val="28"/>
        </w:rPr>
        <w:footnoteReference w:id="1"/>
      </w:r>
    </w:p>
    <w:p w14:paraId="4AE385C1" w14:textId="77777777" w:rsidR="008F4CEC" w:rsidRDefault="008F4CEC" w:rsidP="008F4CEC">
      <w:pPr>
        <w:jc w:val="center"/>
        <w:rPr>
          <w:b/>
          <w:sz w:val="28"/>
        </w:rPr>
      </w:pPr>
    </w:p>
    <w:p w14:paraId="158F13F5" w14:textId="53A3B302" w:rsidR="008F4CEC" w:rsidRDefault="008F4CEC" w:rsidP="008F4CEC">
      <w:pPr>
        <w:jc w:val="center"/>
        <w:rPr>
          <w:b/>
          <w:sz w:val="28"/>
        </w:rPr>
      </w:pPr>
    </w:p>
    <w:p w14:paraId="4A172DCA" w14:textId="764484F5" w:rsidR="00776633" w:rsidRDefault="00776633" w:rsidP="008F4CEC">
      <w:pPr>
        <w:jc w:val="center"/>
        <w:rPr>
          <w:b/>
          <w:sz w:val="28"/>
        </w:rPr>
      </w:pPr>
    </w:p>
    <w:p w14:paraId="3DAD9E65" w14:textId="77777777" w:rsidR="00776633" w:rsidRDefault="00776633" w:rsidP="008F4CEC">
      <w:pPr>
        <w:jc w:val="center"/>
        <w:rPr>
          <w:b/>
          <w:sz w:val="28"/>
        </w:rPr>
      </w:pPr>
    </w:p>
    <w:p w14:paraId="2CFD657D" w14:textId="77777777" w:rsidR="008F4CEC" w:rsidRPr="008F4CEC" w:rsidRDefault="008F4CEC" w:rsidP="008F4CEC">
      <w:pPr>
        <w:jc w:val="center"/>
        <w:rPr>
          <w:b/>
          <w:sz w:val="24"/>
        </w:rPr>
      </w:pPr>
      <w:r w:rsidRPr="008F4CEC">
        <w:rPr>
          <w:b/>
          <w:sz w:val="24"/>
        </w:rPr>
        <w:t>Wen He</w:t>
      </w:r>
    </w:p>
    <w:p w14:paraId="102B2AD4" w14:textId="79234161" w:rsidR="008F4CEC" w:rsidRDefault="002F6BB0" w:rsidP="008F4CEC">
      <w:pPr>
        <w:jc w:val="center"/>
        <w:rPr>
          <w:sz w:val="24"/>
        </w:rPr>
      </w:pPr>
      <w:r>
        <w:rPr>
          <w:sz w:val="24"/>
        </w:rPr>
        <w:t>Monash</w:t>
      </w:r>
      <w:r w:rsidR="008F4CEC">
        <w:rPr>
          <w:sz w:val="24"/>
        </w:rPr>
        <w:t xml:space="preserve"> Business School</w:t>
      </w:r>
    </w:p>
    <w:p w14:paraId="6316C641" w14:textId="611F7B12" w:rsidR="008F4CEC" w:rsidRDefault="002F6BB0" w:rsidP="008F4CEC">
      <w:pPr>
        <w:jc w:val="center"/>
        <w:rPr>
          <w:sz w:val="24"/>
        </w:rPr>
      </w:pPr>
      <w:r>
        <w:rPr>
          <w:sz w:val="24"/>
        </w:rPr>
        <w:t xml:space="preserve">Monash </w:t>
      </w:r>
      <w:r w:rsidR="008F4CEC" w:rsidRPr="008F4CEC">
        <w:rPr>
          <w:sz w:val="24"/>
        </w:rPr>
        <w:t>University</w:t>
      </w:r>
    </w:p>
    <w:p w14:paraId="258CF0A4" w14:textId="4F123669" w:rsidR="008F4CEC" w:rsidRDefault="002F6BB0" w:rsidP="008F4CEC">
      <w:pPr>
        <w:jc w:val="center"/>
        <w:rPr>
          <w:sz w:val="24"/>
        </w:rPr>
      </w:pPr>
      <w:hyperlink r:id="rId7" w:history="1">
        <w:r w:rsidRPr="00445F31">
          <w:rPr>
            <w:rStyle w:val="Hyperlink"/>
            <w:sz w:val="24"/>
          </w:rPr>
          <w:t>wen.he1@monash.edu</w:t>
        </w:r>
      </w:hyperlink>
    </w:p>
    <w:p w14:paraId="736CCEC2" w14:textId="77777777" w:rsidR="002F6BB0" w:rsidRDefault="002F6BB0" w:rsidP="008F4CEC">
      <w:pPr>
        <w:jc w:val="center"/>
        <w:rPr>
          <w:sz w:val="24"/>
        </w:rPr>
      </w:pPr>
    </w:p>
    <w:p w14:paraId="2AF8800C" w14:textId="77777777" w:rsidR="008F4CEC" w:rsidRDefault="008F4CEC" w:rsidP="008F4CEC">
      <w:pPr>
        <w:jc w:val="center"/>
        <w:rPr>
          <w:sz w:val="24"/>
        </w:rPr>
      </w:pPr>
    </w:p>
    <w:p w14:paraId="1A55163E" w14:textId="77777777" w:rsidR="008F4CEC" w:rsidRPr="008F4CEC" w:rsidRDefault="008F4CEC" w:rsidP="008F4CEC">
      <w:pPr>
        <w:jc w:val="center"/>
        <w:rPr>
          <w:b/>
          <w:sz w:val="24"/>
        </w:rPr>
      </w:pPr>
      <w:r w:rsidRPr="008F4CEC">
        <w:rPr>
          <w:b/>
          <w:sz w:val="24"/>
        </w:rPr>
        <w:t>Ankit Jain</w:t>
      </w:r>
    </w:p>
    <w:p w14:paraId="4D42FFBF" w14:textId="77777777" w:rsidR="008F4CEC" w:rsidRDefault="008F4CEC" w:rsidP="008F4CEC">
      <w:pPr>
        <w:jc w:val="center"/>
        <w:rPr>
          <w:sz w:val="24"/>
        </w:rPr>
      </w:pPr>
      <w:r>
        <w:rPr>
          <w:sz w:val="24"/>
        </w:rPr>
        <w:t>UQ Business School</w:t>
      </w:r>
    </w:p>
    <w:p w14:paraId="1E5A1735" w14:textId="77777777" w:rsidR="008F4CEC" w:rsidRDefault="008F4CEC" w:rsidP="008F4CEC">
      <w:pPr>
        <w:jc w:val="center"/>
        <w:rPr>
          <w:sz w:val="24"/>
        </w:rPr>
      </w:pPr>
      <w:r w:rsidRPr="008F4CEC">
        <w:rPr>
          <w:sz w:val="24"/>
        </w:rPr>
        <w:t>University of Queensland</w:t>
      </w:r>
    </w:p>
    <w:p w14:paraId="01391769" w14:textId="77777777" w:rsidR="008F4CEC" w:rsidRDefault="008F4CEC" w:rsidP="008F4CEC">
      <w:pPr>
        <w:jc w:val="center"/>
        <w:rPr>
          <w:sz w:val="24"/>
        </w:rPr>
      </w:pPr>
      <w:r>
        <w:rPr>
          <w:sz w:val="24"/>
        </w:rPr>
        <w:t>a.jain@business.uq.edu.au</w:t>
      </w:r>
    </w:p>
    <w:p w14:paraId="0643D1BE" w14:textId="77777777" w:rsidR="008F4CEC" w:rsidRDefault="008F4CEC" w:rsidP="008F4CEC">
      <w:pPr>
        <w:jc w:val="center"/>
        <w:rPr>
          <w:sz w:val="24"/>
        </w:rPr>
      </w:pPr>
    </w:p>
    <w:p w14:paraId="72D21B25" w14:textId="77777777" w:rsidR="008F4CEC" w:rsidRDefault="008F4CEC" w:rsidP="008F4CEC">
      <w:pPr>
        <w:jc w:val="center"/>
        <w:rPr>
          <w:sz w:val="24"/>
        </w:rPr>
      </w:pPr>
    </w:p>
    <w:p w14:paraId="01685DD4" w14:textId="77777777" w:rsidR="008F4CEC" w:rsidRDefault="008F4CEC" w:rsidP="008F4CEC">
      <w:pPr>
        <w:jc w:val="center"/>
        <w:rPr>
          <w:sz w:val="24"/>
        </w:rPr>
      </w:pPr>
      <w:r>
        <w:rPr>
          <w:sz w:val="24"/>
        </w:rPr>
        <w:t>and</w:t>
      </w:r>
    </w:p>
    <w:p w14:paraId="1BE43A27" w14:textId="77777777" w:rsidR="008F4CEC" w:rsidRDefault="008F4CEC" w:rsidP="008F4CEC">
      <w:pPr>
        <w:jc w:val="center"/>
        <w:rPr>
          <w:sz w:val="24"/>
        </w:rPr>
      </w:pPr>
    </w:p>
    <w:p w14:paraId="1D979D1F" w14:textId="2D7E69FC" w:rsidR="008F4CEC" w:rsidRPr="008F4CEC" w:rsidRDefault="008F4CEC" w:rsidP="008F4CEC">
      <w:pPr>
        <w:jc w:val="center"/>
        <w:rPr>
          <w:b/>
          <w:sz w:val="24"/>
        </w:rPr>
      </w:pPr>
      <w:r w:rsidRPr="008F4CEC">
        <w:rPr>
          <w:b/>
          <w:sz w:val="24"/>
        </w:rPr>
        <w:t xml:space="preserve">Shyam </w:t>
      </w:r>
      <w:r w:rsidR="001E5216">
        <w:rPr>
          <w:b/>
          <w:sz w:val="24"/>
        </w:rPr>
        <w:t xml:space="preserve">V. </w:t>
      </w:r>
      <w:r w:rsidRPr="008F4CEC">
        <w:rPr>
          <w:b/>
          <w:sz w:val="24"/>
        </w:rPr>
        <w:t>Sunder</w:t>
      </w:r>
    </w:p>
    <w:p w14:paraId="5C738105" w14:textId="77777777" w:rsidR="008F4CEC" w:rsidRDefault="008F4CEC" w:rsidP="008F4CEC">
      <w:pPr>
        <w:jc w:val="center"/>
      </w:pPr>
      <w:r>
        <w:t>Eller College of Management</w:t>
      </w:r>
    </w:p>
    <w:p w14:paraId="56297B56" w14:textId="77777777" w:rsidR="008F4CEC" w:rsidRDefault="008F4CEC" w:rsidP="008F4CEC">
      <w:pPr>
        <w:jc w:val="center"/>
      </w:pPr>
      <w:r>
        <w:t>University of Arizona</w:t>
      </w:r>
    </w:p>
    <w:p w14:paraId="106D8496" w14:textId="77777777" w:rsidR="008F4CEC" w:rsidRDefault="008F4CEC" w:rsidP="008F4CEC">
      <w:pPr>
        <w:jc w:val="center"/>
        <w:rPr>
          <w:sz w:val="24"/>
        </w:rPr>
      </w:pPr>
      <w:r w:rsidRPr="008F4CEC">
        <w:rPr>
          <w:sz w:val="24"/>
        </w:rPr>
        <w:t>shyamvsunder@email.arizona.edu</w:t>
      </w:r>
    </w:p>
    <w:p w14:paraId="54842903" w14:textId="77777777" w:rsidR="008F4CEC" w:rsidRDefault="008F4CEC" w:rsidP="008F4CEC">
      <w:pPr>
        <w:jc w:val="center"/>
        <w:rPr>
          <w:sz w:val="24"/>
        </w:rPr>
      </w:pPr>
    </w:p>
    <w:p w14:paraId="6D262C9B" w14:textId="77777777" w:rsidR="008F4CEC" w:rsidRDefault="008F4CEC" w:rsidP="008F4CEC">
      <w:pPr>
        <w:jc w:val="center"/>
        <w:rPr>
          <w:sz w:val="24"/>
        </w:rPr>
      </w:pPr>
    </w:p>
    <w:p w14:paraId="6C8A3250" w14:textId="77777777" w:rsidR="008F4CEC" w:rsidRDefault="008F4CEC" w:rsidP="008F4CEC">
      <w:pPr>
        <w:jc w:val="center"/>
        <w:rPr>
          <w:sz w:val="24"/>
        </w:rPr>
      </w:pPr>
    </w:p>
    <w:p w14:paraId="0CB91895" w14:textId="77777777" w:rsidR="008F4CEC" w:rsidRDefault="008F4CEC" w:rsidP="008F4CEC">
      <w:pPr>
        <w:jc w:val="center"/>
        <w:rPr>
          <w:sz w:val="24"/>
        </w:rPr>
      </w:pPr>
    </w:p>
    <w:p w14:paraId="33F0C6CC" w14:textId="7441D748" w:rsidR="008F4CEC" w:rsidRDefault="00A17CED" w:rsidP="008F4CEC">
      <w:pPr>
        <w:jc w:val="center"/>
        <w:rPr>
          <w:sz w:val="24"/>
        </w:rPr>
      </w:pPr>
      <w:r>
        <w:rPr>
          <w:sz w:val="24"/>
        </w:rPr>
        <w:t>February 2020</w:t>
      </w:r>
    </w:p>
    <w:p w14:paraId="37076291" w14:textId="77777777" w:rsidR="008F4CEC" w:rsidRDefault="008F4CEC" w:rsidP="008F4CEC">
      <w:pPr>
        <w:jc w:val="center"/>
        <w:rPr>
          <w:sz w:val="24"/>
        </w:rPr>
      </w:pPr>
    </w:p>
    <w:p w14:paraId="315D2214" w14:textId="77777777" w:rsidR="008F4CEC" w:rsidRDefault="008F4CEC" w:rsidP="008F4CEC">
      <w:pPr>
        <w:jc w:val="center"/>
        <w:rPr>
          <w:sz w:val="24"/>
        </w:rPr>
      </w:pPr>
    </w:p>
    <w:p w14:paraId="5CF12517" w14:textId="77777777" w:rsidR="008F4CEC" w:rsidRDefault="008F4CEC" w:rsidP="008F4CEC">
      <w:pPr>
        <w:jc w:val="center"/>
        <w:rPr>
          <w:sz w:val="24"/>
        </w:rPr>
      </w:pPr>
    </w:p>
    <w:p w14:paraId="2A28DCAB" w14:textId="77777777" w:rsidR="008F4CEC" w:rsidRDefault="008F4CEC">
      <w:pPr>
        <w:jc w:val="both"/>
        <w:rPr>
          <w:sz w:val="24"/>
        </w:rPr>
      </w:pPr>
      <w:r>
        <w:rPr>
          <w:sz w:val="24"/>
        </w:rPr>
        <w:br w:type="page"/>
      </w:r>
    </w:p>
    <w:p w14:paraId="7CA64284" w14:textId="77777777" w:rsidR="008F4CEC" w:rsidRDefault="008F4CEC" w:rsidP="008F4CEC">
      <w:pPr>
        <w:jc w:val="center"/>
        <w:rPr>
          <w:sz w:val="24"/>
        </w:rPr>
      </w:pPr>
    </w:p>
    <w:p w14:paraId="1152BD37" w14:textId="77777777" w:rsidR="008F4CEC" w:rsidRDefault="008F4CEC" w:rsidP="008F4CEC">
      <w:pPr>
        <w:jc w:val="center"/>
        <w:rPr>
          <w:sz w:val="24"/>
        </w:rPr>
      </w:pPr>
    </w:p>
    <w:p w14:paraId="2E3192D1" w14:textId="77777777" w:rsidR="008F4CEC" w:rsidRDefault="008F4CEC" w:rsidP="008F4CEC">
      <w:pPr>
        <w:jc w:val="center"/>
        <w:rPr>
          <w:sz w:val="24"/>
        </w:rPr>
      </w:pPr>
    </w:p>
    <w:p w14:paraId="3EDA195E" w14:textId="77777777" w:rsidR="008F4CEC" w:rsidRDefault="008F4CEC" w:rsidP="008F4CEC">
      <w:pPr>
        <w:jc w:val="center"/>
        <w:rPr>
          <w:b/>
          <w:sz w:val="28"/>
        </w:rPr>
      </w:pPr>
      <w:r w:rsidRPr="008F4CEC">
        <w:rPr>
          <w:b/>
          <w:sz w:val="28"/>
        </w:rPr>
        <w:t>Disclosure and Shareholder Voting: Evidence from India</w:t>
      </w:r>
    </w:p>
    <w:p w14:paraId="500C02E4" w14:textId="77777777" w:rsidR="008F4CEC" w:rsidRDefault="008F4CEC" w:rsidP="008F4CEC">
      <w:pPr>
        <w:jc w:val="center"/>
        <w:rPr>
          <w:sz w:val="24"/>
        </w:rPr>
      </w:pPr>
    </w:p>
    <w:p w14:paraId="77D7B333" w14:textId="77777777" w:rsidR="008F4CEC" w:rsidRDefault="008F4CEC" w:rsidP="008F4CEC">
      <w:pPr>
        <w:jc w:val="center"/>
        <w:rPr>
          <w:sz w:val="24"/>
        </w:rPr>
      </w:pPr>
    </w:p>
    <w:p w14:paraId="2902AB95" w14:textId="77777777" w:rsidR="008F4CEC" w:rsidRDefault="008F4CEC" w:rsidP="008F4CEC">
      <w:pPr>
        <w:jc w:val="center"/>
        <w:rPr>
          <w:sz w:val="24"/>
        </w:rPr>
      </w:pPr>
    </w:p>
    <w:p w14:paraId="667D36F0" w14:textId="77777777" w:rsidR="008F4CEC" w:rsidRPr="008F4CEC" w:rsidRDefault="008F4CEC" w:rsidP="008F4CEC">
      <w:pPr>
        <w:jc w:val="center"/>
        <w:rPr>
          <w:b/>
          <w:sz w:val="24"/>
        </w:rPr>
      </w:pPr>
      <w:r w:rsidRPr="008F4CEC">
        <w:rPr>
          <w:b/>
          <w:sz w:val="24"/>
        </w:rPr>
        <w:t>Abstract</w:t>
      </w:r>
    </w:p>
    <w:p w14:paraId="6CB17DC9" w14:textId="77777777" w:rsidR="008F4CEC" w:rsidRDefault="008F4CEC" w:rsidP="008F4CEC">
      <w:pPr>
        <w:rPr>
          <w:sz w:val="24"/>
        </w:rPr>
      </w:pPr>
    </w:p>
    <w:p w14:paraId="703377BC" w14:textId="4F20A9DD" w:rsidR="008F4CEC" w:rsidRDefault="003A54E7" w:rsidP="00866F25">
      <w:pPr>
        <w:jc w:val="both"/>
        <w:rPr>
          <w:sz w:val="24"/>
        </w:rPr>
      </w:pPr>
      <w:r>
        <w:rPr>
          <w:sz w:val="24"/>
        </w:rPr>
        <w:t>In India</w:t>
      </w:r>
      <w:r w:rsidR="007D5FA6">
        <w:rPr>
          <w:sz w:val="24"/>
        </w:rPr>
        <w:t>,</w:t>
      </w:r>
      <w:r>
        <w:rPr>
          <w:sz w:val="24"/>
        </w:rPr>
        <w:t xml:space="preserve"> </w:t>
      </w:r>
      <w:r w:rsidR="007D5FA6">
        <w:rPr>
          <w:sz w:val="24"/>
        </w:rPr>
        <w:t>t</w:t>
      </w:r>
      <w:r w:rsidR="008F4CEC">
        <w:rPr>
          <w:sz w:val="24"/>
        </w:rPr>
        <w:t>he Compan</w:t>
      </w:r>
      <w:r w:rsidR="0091155B">
        <w:rPr>
          <w:sz w:val="24"/>
        </w:rPr>
        <w:t>ies</w:t>
      </w:r>
      <w:r w:rsidR="008F4CEC">
        <w:rPr>
          <w:sz w:val="24"/>
        </w:rPr>
        <w:t xml:space="preserve"> Act </w:t>
      </w:r>
      <w:r w:rsidR="007D5FA6">
        <w:rPr>
          <w:sz w:val="24"/>
        </w:rPr>
        <w:t xml:space="preserve">of 2013 </w:t>
      </w:r>
      <w:r w:rsidR="008F4CEC">
        <w:rPr>
          <w:sz w:val="24"/>
        </w:rPr>
        <w:t>required material related party transactions (RPTs) be subject to shareholder voting and approval</w:t>
      </w:r>
      <w:r w:rsidR="007D5FA6">
        <w:rPr>
          <w:sz w:val="24"/>
        </w:rPr>
        <w:t xml:space="preserve">. The regulators intention was </w:t>
      </w:r>
      <w:r w:rsidR="008F4CEC">
        <w:rPr>
          <w:sz w:val="24"/>
        </w:rPr>
        <w:t xml:space="preserve">to reduce </w:t>
      </w:r>
      <w:r w:rsidR="007D5FA6">
        <w:rPr>
          <w:sz w:val="24"/>
        </w:rPr>
        <w:t xml:space="preserve">wealth </w:t>
      </w:r>
      <w:r w:rsidR="008F4CEC">
        <w:rPr>
          <w:sz w:val="24"/>
        </w:rPr>
        <w:t xml:space="preserve">expropriating RPTs and protect </w:t>
      </w:r>
      <w:r w:rsidR="007D5FA6">
        <w:rPr>
          <w:sz w:val="24"/>
        </w:rPr>
        <w:t xml:space="preserve">the </w:t>
      </w:r>
      <w:r w:rsidR="008F4CEC">
        <w:rPr>
          <w:sz w:val="24"/>
        </w:rPr>
        <w:t xml:space="preserve">minority shareholders’ interest. Prior to voting, companies usually </w:t>
      </w:r>
      <w:r w:rsidR="00405C5A">
        <w:rPr>
          <w:sz w:val="24"/>
        </w:rPr>
        <w:t>disclose information about proposed RPTs</w:t>
      </w:r>
      <w:r w:rsidR="008F4CEC">
        <w:rPr>
          <w:sz w:val="24"/>
        </w:rPr>
        <w:t>. We examine whether the</w:t>
      </w:r>
      <w:r w:rsidR="00405C5A">
        <w:rPr>
          <w:sz w:val="24"/>
        </w:rPr>
        <w:t xml:space="preserve"> readability and tone of the</w:t>
      </w:r>
      <w:r w:rsidR="008F4CEC">
        <w:rPr>
          <w:sz w:val="24"/>
        </w:rPr>
        <w:t xml:space="preserve"> </w:t>
      </w:r>
      <w:r w:rsidR="0091155B">
        <w:rPr>
          <w:sz w:val="24"/>
        </w:rPr>
        <w:t xml:space="preserve">RPT </w:t>
      </w:r>
      <w:r w:rsidR="008F4CEC">
        <w:rPr>
          <w:sz w:val="24"/>
        </w:rPr>
        <w:t>disclosure affect shareholder voting</w:t>
      </w:r>
      <w:r w:rsidR="007D5FA6">
        <w:rPr>
          <w:sz w:val="24"/>
        </w:rPr>
        <w:t xml:space="preserve"> on such transactions</w:t>
      </w:r>
      <w:r w:rsidR="00866F25">
        <w:rPr>
          <w:sz w:val="24"/>
        </w:rPr>
        <w:t>. We find tha</w:t>
      </w:r>
      <w:r w:rsidR="00671A83">
        <w:rPr>
          <w:sz w:val="24"/>
        </w:rPr>
        <w:t xml:space="preserve">t </w:t>
      </w:r>
      <w:r w:rsidR="007D5FA6">
        <w:rPr>
          <w:sz w:val="24"/>
        </w:rPr>
        <w:t xml:space="preserve">while </w:t>
      </w:r>
      <w:r w:rsidR="00671A83">
        <w:rPr>
          <w:sz w:val="24"/>
        </w:rPr>
        <w:t xml:space="preserve">readability is not related to voting </w:t>
      </w:r>
      <w:r w:rsidR="007D5FA6">
        <w:rPr>
          <w:sz w:val="24"/>
        </w:rPr>
        <w:t>outcomes</w:t>
      </w:r>
      <w:r w:rsidR="00671A83">
        <w:rPr>
          <w:sz w:val="24"/>
        </w:rPr>
        <w:t xml:space="preserve">, the tone of the disclosure is positively related to both the percentage of investors voting on the resolution and the percentage of institutional investors voting in favour of the resolution. However, </w:t>
      </w:r>
      <w:r w:rsidR="00572CE8">
        <w:rPr>
          <w:sz w:val="24"/>
        </w:rPr>
        <w:t xml:space="preserve">the tone of disclosure is not related to future profitability and the </w:t>
      </w:r>
      <w:r w:rsidR="00671A83">
        <w:rPr>
          <w:sz w:val="24"/>
        </w:rPr>
        <w:t xml:space="preserve">market reactions to the passed resolutions in the short window around voting are negatively related to the tone of the disclosure. </w:t>
      </w:r>
      <w:r w:rsidR="00572CE8">
        <w:rPr>
          <w:sz w:val="24"/>
        </w:rPr>
        <w:t xml:space="preserve">The evidence suggests that </w:t>
      </w:r>
      <w:r w:rsidR="0091155B">
        <w:rPr>
          <w:sz w:val="24"/>
        </w:rPr>
        <w:t xml:space="preserve">firms could use the </w:t>
      </w:r>
      <w:r w:rsidR="00572CE8">
        <w:rPr>
          <w:sz w:val="24"/>
        </w:rPr>
        <w:t>tone</w:t>
      </w:r>
      <w:r w:rsidR="0091155B">
        <w:rPr>
          <w:sz w:val="24"/>
        </w:rPr>
        <w:t xml:space="preserve"> of RPT disclosure </w:t>
      </w:r>
      <w:r w:rsidR="00572CE8">
        <w:rPr>
          <w:sz w:val="24"/>
        </w:rPr>
        <w:t xml:space="preserve">to influence investors’ voting </w:t>
      </w:r>
      <w:r w:rsidR="00A90888">
        <w:rPr>
          <w:sz w:val="24"/>
        </w:rPr>
        <w:t>decisions,</w:t>
      </w:r>
      <w:r w:rsidR="00572CE8">
        <w:rPr>
          <w:sz w:val="24"/>
        </w:rPr>
        <w:t xml:space="preserve"> but the market can unravel </w:t>
      </w:r>
      <w:r w:rsidR="0091155B">
        <w:rPr>
          <w:sz w:val="24"/>
        </w:rPr>
        <w:t xml:space="preserve">and react negatively to </w:t>
      </w:r>
      <w:r w:rsidR="00572CE8">
        <w:rPr>
          <w:sz w:val="24"/>
        </w:rPr>
        <w:t xml:space="preserve">the tone management. </w:t>
      </w:r>
    </w:p>
    <w:p w14:paraId="018560E9" w14:textId="77777777" w:rsidR="00866F25" w:rsidRDefault="00866F25" w:rsidP="008F4CEC">
      <w:pPr>
        <w:rPr>
          <w:sz w:val="24"/>
        </w:rPr>
      </w:pPr>
    </w:p>
    <w:p w14:paraId="74E376A0" w14:textId="77777777" w:rsidR="00E60E8A" w:rsidRDefault="00E60E8A" w:rsidP="008F4CEC">
      <w:pPr>
        <w:rPr>
          <w:i/>
          <w:sz w:val="24"/>
        </w:rPr>
      </w:pPr>
    </w:p>
    <w:p w14:paraId="554AC9DE" w14:textId="77777777" w:rsidR="00866F25" w:rsidRDefault="00866F25" w:rsidP="008F4CEC">
      <w:pPr>
        <w:rPr>
          <w:sz w:val="24"/>
        </w:rPr>
      </w:pPr>
      <w:r w:rsidRPr="00E60E8A">
        <w:rPr>
          <w:i/>
          <w:sz w:val="24"/>
        </w:rPr>
        <w:t>JEL Classification</w:t>
      </w:r>
      <w:r>
        <w:rPr>
          <w:sz w:val="24"/>
        </w:rPr>
        <w:t>: G34, G38, M40</w:t>
      </w:r>
    </w:p>
    <w:p w14:paraId="312F24B0" w14:textId="77777777" w:rsidR="00866F25" w:rsidRDefault="00866F25" w:rsidP="00866F25">
      <w:pPr>
        <w:ind w:left="1276" w:hanging="1276"/>
        <w:rPr>
          <w:sz w:val="24"/>
        </w:rPr>
      </w:pPr>
      <w:r w:rsidRPr="00E60E8A">
        <w:rPr>
          <w:i/>
          <w:sz w:val="24"/>
        </w:rPr>
        <w:t>Key words</w:t>
      </w:r>
      <w:r>
        <w:rPr>
          <w:sz w:val="24"/>
        </w:rPr>
        <w:t>: Disclosure, shareholder voting, related party transactions; corporate governance, India</w:t>
      </w:r>
    </w:p>
    <w:p w14:paraId="789F4202" w14:textId="77777777" w:rsidR="00866F25" w:rsidRDefault="00866F25" w:rsidP="008F4CEC">
      <w:pPr>
        <w:rPr>
          <w:sz w:val="24"/>
        </w:rPr>
      </w:pPr>
    </w:p>
    <w:p w14:paraId="10B45146" w14:textId="77777777" w:rsidR="008F4CEC" w:rsidRDefault="008F4CEC" w:rsidP="008F4CEC">
      <w:pPr>
        <w:rPr>
          <w:sz w:val="24"/>
        </w:rPr>
      </w:pPr>
    </w:p>
    <w:p w14:paraId="709E985C" w14:textId="77777777" w:rsidR="008F4CEC" w:rsidRDefault="008F4CEC" w:rsidP="008F4CEC">
      <w:pPr>
        <w:rPr>
          <w:sz w:val="24"/>
        </w:rPr>
      </w:pPr>
    </w:p>
    <w:p w14:paraId="0F47E887" w14:textId="77777777" w:rsidR="00866F25" w:rsidRDefault="00866F25" w:rsidP="008F4CEC">
      <w:pPr>
        <w:rPr>
          <w:sz w:val="24"/>
        </w:rPr>
        <w:sectPr w:rsidR="00866F25">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pgSz w:w="11906" w:h="16838"/>
          <w:pgMar w:top="1440" w:right="1440" w:bottom="1440" w:left="1440" w:header="708" w:footer="708" w:gutter="0"/>
          <w:cols w:space="708"/>
          <w:docGrid w:linePitch="360"/>
        </w:sectPr>
      </w:pPr>
    </w:p>
    <w:p w14:paraId="54B0341F" w14:textId="77777777" w:rsidR="008F4CEC" w:rsidRPr="00866F25" w:rsidRDefault="00866F25" w:rsidP="00866F25">
      <w:pPr>
        <w:spacing w:line="480" w:lineRule="auto"/>
        <w:rPr>
          <w:b/>
          <w:sz w:val="24"/>
        </w:rPr>
      </w:pPr>
      <w:r w:rsidRPr="00866F25">
        <w:rPr>
          <w:b/>
          <w:sz w:val="24"/>
        </w:rPr>
        <w:lastRenderedPageBreak/>
        <w:t>1. Introduction</w:t>
      </w:r>
    </w:p>
    <w:p w14:paraId="06CC6221" w14:textId="2556FFC2" w:rsidR="00866F25" w:rsidRPr="00EF3EE4" w:rsidRDefault="00E60E8A" w:rsidP="00E60E8A">
      <w:pPr>
        <w:spacing w:line="480" w:lineRule="auto"/>
        <w:jc w:val="both"/>
        <w:rPr>
          <w:sz w:val="24"/>
          <w:szCs w:val="24"/>
        </w:rPr>
      </w:pPr>
      <w:r>
        <w:rPr>
          <w:sz w:val="24"/>
        </w:rPr>
        <w:tab/>
      </w:r>
      <w:r w:rsidRPr="00EF3EE4">
        <w:rPr>
          <w:sz w:val="24"/>
          <w:szCs w:val="24"/>
        </w:rPr>
        <w:t xml:space="preserve">Shareholder participation </w:t>
      </w:r>
      <w:r w:rsidR="00DA0EF9" w:rsidRPr="00EF3EE4">
        <w:rPr>
          <w:sz w:val="24"/>
          <w:szCs w:val="24"/>
        </w:rPr>
        <w:t>plays an important role</w:t>
      </w:r>
      <w:r w:rsidRPr="00EF3EE4">
        <w:rPr>
          <w:sz w:val="24"/>
          <w:szCs w:val="24"/>
        </w:rPr>
        <w:t xml:space="preserve"> in corporate governance</w:t>
      </w:r>
      <w:r w:rsidR="00DA0EF9" w:rsidRPr="00EF3EE4">
        <w:rPr>
          <w:sz w:val="24"/>
          <w:szCs w:val="24"/>
        </w:rPr>
        <w:t xml:space="preserve">, and recent studies show that granting shareholder voting power deters value-destroying corporate actions, such as equity issuance (Chen, Ke and Yang 2013), mergers and acquisitions (Becht, Polo and Rossi 2016) and related party transactions (Li 2018). </w:t>
      </w:r>
      <w:r w:rsidR="0091155B">
        <w:rPr>
          <w:sz w:val="24"/>
          <w:szCs w:val="24"/>
        </w:rPr>
        <w:t>Around the world, law</w:t>
      </w:r>
      <w:r w:rsidR="00211443">
        <w:rPr>
          <w:sz w:val="24"/>
          <w:szCs w:val="24"/>
        </w:rPr>
        <w:t>s</w:t>
      </w:r>
      <w:r w:rsidR="0091155B">
        <w:rPr>
          <w:sz w:val="24"/>
          <w:szCs w:val="24"/>
        </w:rPr>
        <w:t xml:space="preserve"> and regulations </w:t>
      </w:r>
      <w:r w:rsidR="00211443">
        <w:rPr>
          <w:sz w:val="24"/>
          <w:szCs w:val="24"/>
        </w:rPr>
        <w:t>have ma</w:t>
      </w:r>
      <w:r w:rsidR="00F57558">
        <w:rPr>
          <w:sz w:val="24"/>
          <w:szCs w:val="24"/>
        </w:rPr>
        <w:t>de</w:t>
      </w:r>
      <w:r w:rsidR="00211443">
        <w:rPr>
          <w:sz w:val="24"/>
          <w:szCs w:val="24"/>
        </w:rPr>
        <w:t xml:space="preserve"> shareholder voting mandatory and binding for some important corporate decisions (Iliev et al. 2015). </w:t>
      </w:r>
      <w:r w:rsidR="00DA0EF9" w:rsidRPr="00EF3EE4">
        <w:rPr>
          <w:sz w:val="24"/>
          <w:szCs w:val="24"/>
        </w:rPr>
        <w:t xml:space="preserve">However, it is unclear how investors make voting decisions and what information can help them make an informed decision to support or veto a proposal. In an extreme case where no information on a proposal is provided, it is unlikely that shareholders will be able to vote to maximize firm value. Therefore, </w:t>
      </w:r>
      <w:r w:rsidR="00DA0EF9" w:rsidRPr="00EF3EE4">
        <w:rPr>
          <w:rFonts w:ascii="Times New Roman" w:hAnsi="Times New Roman" w:cs="Times New Roman"/>
          <w:sz w:val="24"/>
          <w:szCs w:val="24"/>
          <w:lang w:val="en-US"/>
        </w:rPr>
        <w:t xml:space="preserve">Djankov et al. (2008) suggest that mandatory shareholder approval combined with disclosure transparency can have a first-order effect in curbing agency problems and expropriating corporate decisions. In this study, we </w:t>
      </w:r>
      <w:r w:rsidR="000C6DB5" w:rsidRPr="00EF3EE4">
        <w:rPr>
          <w:rFonts w:ascii="Times New Roman" w:hAnsi="Times New Roman" w:cs="Times New Roman"/>
          <w:sz w:val="24"/>
          <w:szCs w:val="24"/>
          <w:lang w:val="en-US"/>
        </w:rPr>
        <w:t>use a unique setting in India to investigate whether information di</w:t>
      </w:r>
      <w:r w:rsidR="00D04BAF">
        <w:rPr>
          <w:rFonts w:ascii="Times New Roman" w:hAnsi="Times New Roman" w:cs="Times New Roman"/>
          <w:sz w:val="24"/>
          <w:szCs w:val="24"/>
          <w:lang w:val="en-US"/>
        </w:rPr>
        <w:t xml:space="preserve">sclosure on proposed </w:t>
      </w:r>
      <w:r w:rsidR="00770960">
        <w:rPr>
          <w:rFonts w:ascii="Times New Roman" w:hAnsi="Times New Roman" w:cs="Times New Roman"/>
          <w:sz w:val="24"/>
          <w:szCs w:val="24"/>
          <w:lang w:val="en-US"/>
        </w:rPr>
        <w:t>related party transactions (</w:t>
      </w:r>
      <w:r w:rsidR="00D04BAF">
        <w:rPr>
          <w:rFonts w:ascii="Times New Roman" w:hAnsi="Times New Roman" w:cs="Times New Roman"/>
          <w:sz w:val="24"/>
          <w:szCs w:val="24"/>
          <w:lang w:val="en-US"/>
        </w:rPr>
        <w:t>RPTs</w:t>
      </w:r>
      <w:r w:rsidR="00770960">
        <w:rPr>
          <w:rFonts w:ascii="Times New Roman" w:hAnsi="Times New Roman" w:cs="Times New Roman"/>
          <w:sz w:val="24"/>
          <w:szCs w:val="24"/>
          <w:lang w:val="en-US"/>
        </w:rPr>
        <w:t>)</w:t>
      </w:r>
      <w:r w:rsidR="00D04BAF">
        <w:rPr>
          <w:rFonts w:ascii="Times New Roman" w:hAnsi="Times New Roman" w:cs="Times New Roman"/>
          <w:sz w:val="24"/>
          <w:szCs w:val="24"/>
          <w:lang w:val="en-US"/>
        </w:rPr>
        <w:t xml:space="preserve"> affec</w:t>
      </w:r>
      <w:r w:rsidR="000C6DB5" w:rsidRPr="00EF3EE4">
        <w:rPr>
          <w:rFonts w:ascii="Times New Roman" w:hAnsi="Times New Roman" w:cs="Times New Roman"/>
          <w:sz w:val="24"/>
          <w:szCs w:val="24"/>
          <w:lang w:val="en-US"/>
        </w:rPr>
        <w:t>ts shareholders’ voting, and whether retail investors and institutional investors use the information differently to make voting decisions.</w:t>
      </w:r>
    </w:p>
    <w:p w14:paraId="69DD4FCC" w14:textId="5EA85599" w:rsidR="000C6DB5" w:rsidRDefault="000C6DB5" w:rsidP="00E60E8A">
      <w:pPr>
        <w:spacing w:line="480" w:lineRule="auto"/>
        <w:jc w:val="both"/>
        <w:rPr>
          <w:sz w:val="24"/>
        </w:rPr>
      </w:pPr>
      <w:r w:rsidRPr="00EF3EE4">
        <w:rPr>
          <w:sz w:val="24"/>
          <w:szCs w:val="24"/>
        </w:rPr>
        <w:tab/>
      </w:r>
      <w:r w:rsidR="00770960">
        <w:rPr>
          <w:sz w:val="24"/>
          <w:szCs w:val="24"/>
        </w:rPr>
        <w:t>Regulators around the world have long been concerned that corporate insiders can use RPTs to tunnel firms’ resources and expropriate outside investors.</w:t>
      </w:r>
      <w:r w:rsidR="00583B95">
        <w:rPr>
          <w:rStyle w:val="FootnoteReference"/>
          <w:sz w:val="24"/>
        </w:rPr>
        <w:footnoteReference w:id="2"/>
      </w:r>
      <w:r w:rsidR="00770960">
        <w:rPr>
          <w:sz w:val="24"/>
          <w:szCs w:val="24"/>
        </w:rPr>
        <w:t xml:space="preserve"> Particularly in markets where ownership is concentrated and investor protection is weak, RPTs are more likely to be </w:t>
      </w:r>
      <w:r w:rsidR="00583B95">
        <w:rPr>
          <w:sz w:val="24"/>
          <w:szCs w:val="24"/>
        </w:rPr>
        <w:t>misused</w:t>
      </w:r>
      <w:r w:rsidR="00770960">
        <w:rPr>
          <w:sz w:val="24"/>
          <w:szCs w:val="24"/>
        </w:rPr>
        <w:t xml:space="preserve"> for </w:t>
      </w:r>
      <w:r w:rsidR="00C66484">
        <w:rPr>
          <w:sz w:val="24"/>
          <w:szCs w:val="24"/>
        </w:rPr>
        <w:t xml:space="preserve">wealth </w:t>
      </w:r>
      <w:r w:rsidR="00583B95">
        <w:rPr>
          <w:sz w:val="24"/>
          <w:szCs w:val="24"/>
        </w:rPr>
        <w:t>expropriation</w:t>
      </w:r>
      <w:r w:rsidR="00770960">
        <w:rPr>
          <w:sz w:val="24"/>
          <w:szCs w:val="24"/>
        </w:rPr>
        <w:t xml:space="preserve"> </w:t>
      </w:r>
      <w:r w:rsidR="00583B95">
        <w:rPr>
          <w:sz w:val="24"/>
          <w:szCs w:val="24"/>
        </w:rPr>
        <w:t xml:space="preserve">and </w:t>
      </w:r>
      <w:r w:rsidR="00C66484">
        <w:rPr>
          <w:sz w:val="24"/>
          <w:szCs w:val="24"/>
        </w:rPr>
        <w:t xml:space="preserve">thus </w:t>
      </w:r>
      <w:r w:rsidR="00583B95">
        <w:rPr>
          <w:sz w:val="24"/>
          <w:szCs w:val="24"/>
        </w:rPr>
        <w:t>present a challenge to regulators. One approach tak</w:t>
      </w:r>
      <w:r w:rsidR="00C66484">
        <w:rPr>
          <w:sz w:val="24"/>
          <w:szCs w:val="24"/>
        </w:rPr>
        <w:t>en</w:t>
      </w:r>
      <w:r w:rsidR="00583B95">
        <w:rPr>
          <w:sz w:val="24"/>
          <w:szCs w:val="24"/>
        </w:rPr>
        <w:t xml:space="preserve"> by regulators in India is to make all material RPTs subject to shareholder approval before they can be </w:t>
      </w:r>
      <w:r w:rsidR="00C66484">
        <w:rPr>
          <w:sz w:val="24"/>
          <w:szCs w:val="24"/>
        </w:rPr>
        <w:t>executed</w:t>
      </w:r>
      <w:r w:rsidR="00583B95">
        <w:rPr>
          <w:sz w:val="24"/>
          <w:szCs w:val="24"/>
        </w:rPr>
        <w:t>. Specifically, i</w:t>
      </w:r>
      <w:r w:rsidRPr="00EF3EE4">
        <w:rPr>
          <w:sz w:val="24"/>
          <w:szCs w:val="24"/>
        </w:rPr>
        <w:t>n 2013, I</w:t>
      </w:r>
      <w:r w:rsidR="00931CB7" w:rsidRPr="00EF3EE4">
        <w:rPr>
          <w:sz w:val="24"/>
          <w:szCs w:val="24"/>
        </w:rPr>
        <w:t>ndia adopted the new Companies</w:t>
      </w:r>
      <w:r w:rsidRPr="00EF3EE4">
        <w:rPr>
          <w:sz w:val="24"/>
          <w:szCs w:val="24"/>
        </w:rPr>
        <w:t xml:space="preserve"> Act </w:t>
      </w:r>
      <w:r w:rsidR="00931CB7" w:rsidRPr="00EF3EE4">
        <w:rPr>
          <w:sz w:val="24"/>
          <w:szCs w:val="24"/>
        </w:rPr>
        <w:t>that</w:t>
      </w:r>
      <w:r w:rsidRPr="00EF3EE4">
        <w:rPr>
          <w:sz w:val="24"/>
          <w:szCs w:val="24"/>
        </w:rPr>
        <w:t xml:space="preserve"> requires material related party transactions (RPTs) </w:t>
      </w:r>
      <w:r w:rsidR="002453B0">
        <w:rPr>
          <w:sz w:val="24"/>
          <w:szCs w:val="24"/>
        </w:rPr>
        <w:t xml:space="preserve">to </w:t>
      </w:r>
      <w:r w:rsidR="00583B95">
        <w:rPr>
          <w:sz w:val="24"/>
          <w:szCs w:val="24"/>
        </w:rPr>
        <w:t>be approved by disinterested shareholder</w:t>
      </w:r>
      <w:r w:rsidR="00611E35">
        <w:rPr>
          <w:sz w:val="24"/>
          <w:szCs w:val="24"/>
        </w:rPr>
        <w:t>s</w:t>
      </w:r>
      <w:r w:rsidR="00583B95">
        <w:rPr>
          <w:sz w:val="24"/>
          <w:szCs w:val="24"/>
        </w:rPr>
        <w:t xml:space="preserve">. </w:t>
      </w:r>
      <w:r w:rsidR="00931CB7" w:rsidRPr="00EF3EE4">
        <w:rPr>
          <w:sz w:val="24"/>
          <w:szCs w:val="24"/>
        </w:rPr>
        <w:t xml:space="preserve">Accordingly, </w:t>
      </w:r>
      <w:r w:rsidR="00533160" w:rsidRPr="00EF3EE4">
        <w:rPr>
          <w:sz w:val="24"/>
          <w:szCs w:val="24"/>
        </w:rPr>
        <w:t>t</w:t>
      </w:r>
      <w:r w:rsidR="00931CB7" w:rsidRPr="00EF3EE4">
        <w:rPr>
          <w:sz w:val="24"/>
          <w:szCs w:val="24"/>
        </w:rPr>
        <w:t xml:space="preserve">he Securities and exchange Board of India (SEBI) made a rule in the revised </w:t>
      </w:r>
      <w:r w:rsidR="00931CB7" w:rsidRPr="00EF3EE4">
        <w:rPr>
          <w:sz w:val="24"/>
          <w:szCs w:val="24"/>
        </w:rPr>
        <w:lastRenderedPageBreak/>
        <w:t xml:space="preserve">listing agreement specifying that if a firm’s total </w:t>
      </w:r>
      <w:r w:rsidR="00533160" w:rsidRPr="00EF3EE4">
        <w:rPr>
          <w:sz w:val="24"/>
          <w:szCs w:val="24"/>
        </w:rPr>
        <w:t xml:space="preserve">amount of </w:t>
      </w:r>
      <w:r w:rsidR="00931CB7" w:rsidRPr="00EF3EE4">
        <w:rPr>
          <w:sz w:val="24"/>
          <w:szCs w:val="24"/>
        </w:rPr>
        <w:t>RPTs with an individual party in a financial</w:t>
      </w:r>
      <w:r w:rsidR="00931CB7">
        <w:rPr>
          <w:sz w:val="24"/>
        </w:rPr>
        <w:t xml:space="preserve"> year </w:t>
      </w:r>
      <w:r w:rsidR="00533160">
        <w:rPr>
          <w:sz w:val="24"/>
        </w:rPr>
        <w:t xml:space="preserve">is expected to </w:t>
      </w:r>
      <w:r w:rsidR="00931CB7">
        <w:rPr>
          <w:sz w:val="24"/>
        </w:rPr>
        <w:t xml:space="preserve">exceed 10% of the firm’s most recent total revenue, then the RPTs with the party </w:t>
      </w:r>
      <w:r w:rsidR="00533160">
        <w:rPr>
          <w:sz w:val="24"/>
        </w:rPr>
        <w:t>will be</w:t>
      </w:r>
      <w:r w:rsidR="00931CB7">
        <w:rPr>
          <w:sz w:val="24"/>
        </w:rPr>
        <w:t xml:space="preserve"> classified as “material RPTs” and subject to voting by </w:t>
      </w:r>
      <w:r w:rsidR="00533160">
        <w:rPr>
          <w:sz w:val="24"/>
        </w:rPr>
        <w:t xml:space="preserve">shareholders, and only </w:t>
      </w:r>
      <w:r w:rsidR="00931CB7">
        <w:rPr>
          <w:sz w:val="24"/>
        </w:rPr>
        <w:t>“disinterested” shareholders who are</w:t>
      </w:r>
      <w:r w:rsidR="000F39F7">
        <w:rPr>
          <w:sz w:val="24"/>
        </w:rPr>
        <w:t xml:space="preserve"> not</w:t>
      </w:r>
      <w:r w:rsidR="00931CB7">
        <w:rPr>
          <w:sz w:val="24"/>
        </w:rPr>
        <w:t xml:space="preserve"> connected to the related party</w:t>
      </w:r>
      <w:r w:rsidR="00533160">
        <w:rPr>
          <w:sz w:val="24"/>
        </w:rPr>
        <w:t xml:space="preserve"> can vote</w:t>
      </w:r>
      <w:r w:rsidR="00931CB7">
        <w:rPr>
          <w:sz w:val="24"/>
        </w:rPr>
        <w:t xml:space="preserve">. </w:t>
      </w:r>
      <w:r w:rsidR="00533160">
        <w:rPr>
          <w:sz w:val="24"/>
        </w:rPr>
        <w:t xml:space="preserve">The rule aims to </w:t>
      </w:r>
      <w:r w:rsidR="004E6B5D">
        <w:rPr>
          <w:sz w:val="24"/>
        </w:rPr>
        <w:t>deter</w:t>
      </w:r>
      <w:r w:rsidR="00533160">
        <w:rPr>
          <w:sz w:val="24"/>
        </w:rPr>
        <w:t xml:space="preserve"> expropriating RPTs </w:t>
      </w:r>
      <w:r w:rsidR="004E6B5D">
        <w:rPr>
          <w:sz w:val="24"/>
        </w:rPr>
        <w:t>while retaining legitimate and value increasing RPTs.</w:t>
      </w:r>
      <w:r w:rsidR="000F39F7">
        <w:rPr>
          <w:sz w:val="24"/>
        </w:rPr>
        <w:t xml:space="preserve"> Li (2018) shows that the mandatory shareholder voting </w:t>
      </w:r>
      <w:r w:rsidR="005B5B23">
        <w:rPr>
          <w:sz w:val="24"/>
        </w:rPr>
        <w:t>led</w:t>
      </w:r>
      <w:r w:rsidR="000F39F7">
        <w:rPr>
          <w:sz w:val="24"/>
        </w:rPr>
        <w:t xml:space="preserve"> to a significant decrease in the volume of RPTs and 7.78% of RPT </w:t>
      </w:r>
      <w:r w:rsidR="005B5B23">
        <w:rPr>
          <w:sz w:val="24"/>
        </w:rPr>
        <w:t xml:space="preserve">proposals failed to pass in 2014 and 2015. </w:t>
      </w:r>
      <w:r w:rsidR="00EF3EE4">
        <w:rPr>
          <w:sz w:val="24"/>
        </w:rPr>
        <w:t xml:space="preserve">Before the voting, companies usually </w:t>
      </w:r>
      <w:r w:rsidR="00EF62D9">
        <w:rPr>
          <w:sz w:val="24"/>
        </w:rPr>
        <w:t xml:space="preserve">disclose the information about the RPTs to shareholders, through </w:t>
      </w:r>
      <w:r w:rsidR="003F08CC">
        <w:rPr>
          <w:sz w:val="24"/>
        </w:rPr>
        <w:t xml:space="preserve">postal </w:t>
      </w:r>
      <w:r w:rsidR="00EF3EE4">
        <w:rPr>
          <w:sz w:val="24"/>
        </w:rPr>
        <w:t xml:space="preserve">ballot </w:t>
      </w:r>
      <w:r w:rsidR="003F08CC">
        <w:rPr>
          <w:sz w:val="24"/>
        </w:rPr>
        <w:t>notices</w:t>
      </w:r>
      <w:r w:rsidR="00EF3EE4">
        <w:rPr>
          <w:sz w:val="24"/>
        </w:rPr>
        <w:t xml:space="preserve"> </w:t>
      </w:r>
      <w:r w:rsidR="00EF62D9">
        <w:rPr>
          <w:sz w:val="24"/>
        </w:rPr>
        <w:t>or public announcements</w:t>
      </w:r>
      <w:r w:rsidR="00EF3EE4">
        <w:rPr>
          <w:sz w:val="24"/>
        </w:rPr>
        <w:t>.</w:t>
      </w:r>
      <w:r w:rsidR="00EF62D9">
        <w:rPr>
          <w:sz w:val="24"/>
        </w:rPr>
        <w:t xml:space="preserve"> </w:t>
      </w:r>
      <w:r w:rsidR="00EF3EE4">
        <w:rPr>
          <w:sz w:val="24"/>
        </w:rPr>
        <w:t xml:space="preserve"> </w:t>
      </w:r>
      <w:r w:rsidR="003F08CC">
        <w:rPr>
          <w:sz w:val="24"/>
        </w:rPr>
        <w:t xml:space="preserve">We hand collect the postal ballot notices and </w:t>
      </w:r>
      <w:r w:rsidR="00EF62D9">
        <w:rPr>
          <w:sz w:val="24"/>
        </w:rPr>
        <w:t xml:space="preserve">announcements to </w:t>
      </w:r>
      <w:r w:rsidR="003F08CC">
        <w:rPr>
          <w:sz w:val="24"/>
        </w:rPr>
        <w:t>examine whether the qua</w:t>
      </w:r>
      <w:r w:rsidR="00C814F7">
        <w:rPr>
          <w:sz w:val="24"/>
        </w:rPr>
        <w:t>l</w:t>
      </w:r>
      <w:r w:rsidR="003F08CC">
        <w:rPr>
          <w:sz w:val="24"/>
        </w:rPr>
        <w:t xml:space="preserve">itative disclosure of RPTs is related to investors’ voting decisions. </w:t>
      </w:r>
    </w:p>
    <w:p w14:paraId="6A4B2DB5" w14:textId="4A97C8A6" w:rsidR="003F08CC" w:rsidRDefault="003F08CC" w:rsidP="00C03E0D">
      <w:pPr>
        <w:spacing w:line="480" w:lineRule="auto"/>
        <w:jc w:val="both"/>
        <w:rPr>
          <w:sz w:val="24"/>
        </w:rPr>
      </w:pPr>
      <w:r>
        <w:rPr>
          <w:sz w:val="24"/>
        </w:rPr>
        <w:tab/>
      </w:r>
      <w:r w:rsidRPr="004E6B5D">
        <w:rPr>
          <w:i/>
          <w:sz w:val="24"/>
        </w:rPr>
        <w:t>Ex ante</w:t>
      </w:r>
      <w:r>
        <w:rPr>
          <w:sz w:val="24"/>
        </w:rPr>
        <w:t xml:space="preserve">, it is unclear whether the disclosure will affect investors’ voting decisions. </w:t>
      </w:r>
      <w:r w:rsidR="00C03E0D">
        <w:rPr>
          <w:sz w:val="24"/>
        </w:rPr>
        <w:t>One</w:t>
      </w:r>
      <w:r>
        <w:rPr>
          <w:sz w:val="24"/>
        </w:rPr>
        <w:t xml:space="preserve"> scenario is that because the mandatory voting deters expropriating RPTs (Li 2018), insiders will only put the legitimate RPTs to vot</w:t>
      </w:r>
      <w:r w:rsidR="005378B3">
        <w:rPr>
          <w:sz w:val="24"/>
        </w:rPr>
        <w:t>e</w:t>
      </w:r>
      <w:r>
        <w:rPr>
          <w:sz w:val="24"/>
        </w:rPr>
        <w:t xml:space="preserve">, and disclosure is only a sideshow to meet regulatory requirement. In this case, RPT resolutions will pass regardless of the quality of disclosure. The result in Li (2018) that 7.78% RPT resolutions are vetoed suggests that there is a variation in voting outcomes and disclosure </w:t>
      </w:r>
      <w:r w:rsidR="00C03E0D">
        <w:rPr>
          <w:sz w:val="24"/>
        </w:rPr>
        <w:t>may</w:t>
      </w:r>
      <w:r>
        <w:rPr>
          <w:sz w:val="24"/>
        </w:rPr>
        <w:t xml:space="preserve"> play a role.  </w:t>
      </w:r>
      <w:r w:rsidR="00C03E0D">
        <w:rPr>
          <w:sz w:val="24"/>
        </w:rPr>
        <w:t xml:space="preserve">Another </w:t>
      </w:r>
      <w:r>
        <w:rPr>
          <w:sz w:val="24"/>
        </w:rPr>
        <w:t>scenario is</w:t>
      </w:r>
      <w:r w:rsidR="00C03E0D">
        <w:rPr>
          <w:sz w:val="24"/>
        </w:rPr>
        <w:t xml:space="preserve"> </w:t>
      </w:r>
      <w:r>
        <w:rPr>
          <w:sz w:val="24"/>
        </w:rPr>
        <w:t>that</w:t>
      </w:r>
      <w:r w:rsidR="00C03E0D">
        <w:rPr>
          <w:sz w:val="24"/>
        </w:rPr>
        <w:t xml:space="preserve">, because shareholders may perceive opaque disclosure as a signal of problematic RPTs, more transparent disclosure will be related to more shareholders voting in </w:t>
      </w:r>
      <w:r w:rsidR="00C66484">
        <w:rPr>
          <w:sz w:val="24"/>
        </w:rPr>
        <w:t>favour</w:t>
      </w:r>
      <w:r w:rsidR="00C03E0D">
        <w:rPr>
          <w:sz w:val="24"/>
        </w:rPr>
        <w:t xml:space="preserve"> of the RPT resolutions, as transparency indicates quality of RPTs. The third scenario is that, </w:t>
      </w:r>
      <w:r w:rsidR="009713CF">
        <w:rPr>
          <w:sz w:val="24"/>
        </w:rPr>
        <w:t>f</w:t>
      </w:r>
      <w:r w:rsidR="00523126">
        <w:rPr>
          <w:sz w:val="24"/>
        </w:rPr>
        <w:t xml:space="preserve">irms could intentionally use optimistic language to manage investors’ expectations about the RPTs, leading to a positive association between the tone of the disclosure and investors’ support for the RPTs. </w:t>
      </w:r>
      <w:r w:rsidR="00F060D3">
        <w:rPr>
          <w:sz w:val="24"/>
        </w:rPr>
        <w:t>However</w:t>
      </w:r>
      <w:r w:rsidR="009713CF">
        <w:rPr>
          <w:sz w:val="24"/>
        </w:rPr>
        <w:t xml:space="preserve">, if investors can properly understand and undo the tone management, the tone of the disclosure may not relate to investors’ voting decisions. Furthermore, if the tone of disclosure reflects insiders’ positive information about increases in future profits and cash flows resulting from value </w:t>
      </w:r>
      <w:r w:rsidR="009713CF">
        <w:rPr>
          <w:sz w:val="24"/>
        </w:rPr>
        <w:lastRenderedPageBreak/>
        <w:t xml:space="preserve">increasing RPTs, </w:t>
      </w:r>
      <w:r w:rsidR="004E6B5D">
        <w:rPr>
          <w:sz w:val="24"/>
        </w:rPr>
        <w:t>a more positive tone of disclosure will be associated with more investor support for the RPTs. F</w:t>
      </w:r>
      <w:r w:rsidR="00F060D3">
        <w:rPr>
          <w:sz w:val="24"/>
        </w:rPr>
        <w:t>inally, the above discussion relies on the assumption that shareholders will carefully read the information disclosure on RPTs and make voting decision accordingly. Prior studies show that</w:t>
      </w:r>
      <w:r w:rsidR="004E6B5D">
        <w:rPr>
          <w:sz w:val="24"/>
        </w:rPr>
        <w:t xml:space="preserve"> institutional investors and retail investors</w:t>
      </w:r>
      <w:r w:rsidR="00F060D3">
        <w:rPr>
          <w:sz w:val="24"/>
        </w:rPr>
        <w:t xml:space="preserve"> differ significantly in their ability to acquire and process information</w:t>
      </w:r>
      <w:r w:rsidR="004E6B5D">
        <w:rPr>
          <w:sz w:val="24"/>
        </w:rPr>
        <w:t xml:space="preserve">. </w:t>
      </w:r>
      <w:r w:rsidR="00F060D3">
        <w:rPr>
          <w:sz w:val="24"/>
        </w:rPr>
        <w:t>Therefore, the effect of disclosure on shareholders’ voting decisions may also</w:t>
      </w:r>
      <w:r w:rsidR="004E6B5D">
        <w:rPr>
          <w:sz w:val="24"/>
        </w:rPr>
        <w:t xml:space="preserve"> differ between institutional and retail investors. </w:t>
      </w:r>
    </w:p>
    <w:p w14:paraId="5A5D4A33" w14:textId="11507B5F" w:rsidR="009572A1" w:rsidRDefault="006C7545" w:rsidP="00E60E8A">
      <w:pPr>
        <w:spacing w:line="480" w:lineRule="auto"/>
        <w:jc w:val="both"/>
        <w:rPr>
          <w:sz w:val="24"/>
        </w:rPr>
      </w:pPr>
      <w:r>
        <w:rPr>
          <w:sz w:val="24"/>
        </w:rPr>
        <w:tab/>
      </w:r>
      <w:r w:rsidR="008B409D">
        <w:rPr>
          <w:sz w:val="24"/>
        </w:rPr>
        <w:t xml:space="preserve">Using </w:t>
      </w:r>
      <w:r w:rsidR="00F060D3">
        <w:rPr>
          <w:sz w:val="24"/>
        </w:rPr>
        <w:t xml:space="preserve">textual </w:t>
      </w:r>
      <w:r w:rsidR="008B409D">
        <w:rPr>
          <w:sz w:val="24"/>
        </w:rPr>
        <w:t xml:space="preserve">information from </w:t>
      </w:r>
      <w:r w:rsidR="00C65F58">
        <w:rPr>
          <w:sz w:val="24"/>
        </w:rPr>
        <w:t>disclosure</w:t>
      </w:r>
      <w:r w:rsidR="008B409D">
        <w:rPr>
          <w:sz w:val="24"/>
        </w:rPr>
        <w:t xml:space="preserve"> on RPTs in the period from 2014 to 2018, we </w:t>
      </w:r>
      <w:r w:rsidR="00F060D3">
        <w:rPr>
          <w:sz w:val="24"/>
        </w:rPr>
        <w:t xml:space="preserve">construct two measures of information disclosure on RPTs. One is the fog index, capturing the readability of the disclosure. The other is the tone of the disclosure, calculated as the difference between the numbers of optimistic words and pessimistic words, scaled by the total number of words in the disclosure. Over the sample period, we find that the average tone of the RPT disclosure is stable, but the average </w:t>
      </w:r>
      <w:r w:rsidR="009572A1">
        <w:rPr>
          <w:sz w:val="24"/>
        </w:rPr>
        <w:t>fog index increases, suggesting that readability of the disclosure is worsening. On average, 44.28% of eligible shareholders</w:t>
      </w:r>
      <w:r w:rsidR="004362A6">
        <w:rPr>
          <w:sz w:val="24"/>
        </w:rPr>
        <w:t xml:space="preserve"> cast votes on a RPT resolution,</w:t>
      </w:r>
      <w:r w:rsidR="0032740F" w:rsidRPr="0032740F">
        <w:rPr>
          <w:rStyle w:val="FootnoteReference"/>
          <w:sz w:val="24"/>
        </w:rPr>
        <w:t xml:space="preserve"> </w:t>
      </w:r>
      <w:r w:rsidR="0032740F">
        <w:rPr>
          <w:rStyle w:val="FootnoteReference"/>
          <w:sz w:val="24"/>
        </w:rPr>
        <w:footnoteReference w:id="3"/>
      </w:r>
      <w:r w:rsidR="004362A6">
        <w:rPr>
          <w:sz w:val="24"/>
        </w:rPr>
        <w:t xml:space="preserve"> and </w:t>
      </w:r>
      <w:r w:rsidR="0032740F">
        <w:rPr>
          <w:sz w:val="24"/>
        </w:rPr>
        <w:t>the participation rate is much higher for institutions (</w:t>
      </w:r>
      <w:r w:rsidR="009572A1">
        <w:rPr>
          <w:sz w:val="24"/>
        </w:rPr>
        <w:t>69.56%</w:t>
      </w:r>
      <w:r w:rsidR="0032740F">
        <w:rPr>
          <w:sz w:val="24"/>
        </w:rPr>
        <w:t>) than retail investors (</w:t>
      </w:r>
      <w:r w:rsidR="009572A1">
        <w:rPr>
          <w:sz w:val="24"/>
        </w:rPr>
        <w:t>21.04%</w:t>
      </w:r>
      <w:r w:rsidR="0032740F">
        <w:rPr>
          <w:sz w:val="24"/>
        </w:rPr>
        <w:t>) of retail investors</w:t>
      </w:r>
      <w:r w:rsidR="004362A6">
        <w:rPr>
          <w:sz w:val="24"/>
        </w:rPr>
        <w:t xml:space="preserve">. </w:t>
      </w:r>
      <w:r w:rsidR="009572A1">
        <w:rPr>
          <w:sz w:val="24"/>
        </w:rPr>
        <w:t>The evidence suggests that RPT resolutions are of significant interest to shareholders and draw significant attention from shareholders. 99% of RPT resolutions are passed</w:t>
      </w:r>
      <w:r w:rsidR="001D704F">
        <w:rPr>
          <w:sz w:val="24"/>
        </w:rPr>
        <w:t>, and</w:t>
      </w:r>
      <w:r w:rsidR="00F57960">
        <w:rPr>
          <w:sz w:val="24"/>
        </w:rPr>
        <w:t xml:space="preserve"> on average</w:t>
      </w:r>
      <w:r w:rsidR="00EE6C90">
        <w:rPr>
          <w:sz w:val="24"/>
        </w:rPr>
        <w:t>,</w:t>
      </w:r>
      <w:r w:rsidR="001D704F">
        <w:rPr>
          <w:sz w:val="24"/>
        </w:rPr>
        <w:t xml:space="preserve"> 91.43% of </w:t>
      </w:r>
      <w:r w:rsidR="00E555DB">
        <w:rPr>
          <w:sz w:val="24"/>
        </w:rPr>
        <w:t xml:space="preserve">participating </w:t>
      </w:r>
      <w:r w:rsidR="001D704F">
        <w:rPr>
          <w:sz w:val="24"/>
        </w:rPr>
        <w:t xml:space="preserve">institutions vote in favour of the resolutions while 96.68% </w:t>
      </w:r>
      <w:r w:rsidR="00E555DB">
        <w:rPr>
          <w:sz w:val="24"/>
        </w:rPr>
        <w:t xml:space="preserve">participating </w:t>
      </w:r>
      <w:r w:rsidR="001D704F">
        <w:rPr>
          <w:sz w:val="24"/>
        </w:rPr>
        <w:t xml:space="preserve">retail investors vote to support the resolutions. </w:t>
      </w:r>
    </w:p>
    <w:p w14:paraId="00101C53" w14:textId="11651E67" w:rsidR="00A90888" w:rsidRDefault="00A90888" w:rsidP="00E60E8A">
      <w:pPr>
        <w:spacing w:line="480" w:lineRule="auto"/>
        <w:jc w:val="both"/>
        <w:rPr>
          <w:sz w:val="24"/>
        </w:rPr>
      </w:pPr>
      <w:r>
        <w:rPr>
          <w:sz w:val="24"/>
        </w:rPr>
        <w:tab/>
      </w:r>
      <w:r>
        <w:rPr>
          <w:rFonts w:hint="eastAsia"/>
          <w:sz w:val="24"/>
        </w:rPr>
        <w:t>We</w:t>
      </w:r>
      <w:r>
        <w:rPr>
          <w:sz w:val="24"/>
        </w:rPr>
        <w:t xml:space="preserve"> begin with an analysis of the association between information disclosure of RPTs and investors’ participation in the voting on the RPT resolutions. The results</w:t>
      </w:r>
      <w:r w:rsidR="0036149E">
        <w:rPr>
          <w:sz w:val="24"/>
        </w:rPr>
        <w:t xml:space="preserve"> from multivariate regressions</w:t>
      </w:r>
      <w:r>
        <w:rPr>
          <w:sz w:val="24"/>
        </w:rPr>
        <w:t xml:space="preserve"> show that the fog index is not related to the percentage of eligible investors, both institutional and retail, who cast their votes on the RPT resolution. However, we find some weak evidence that the tone of the disclosure is positively related to the participation rate by </w:t>
      </w:r>
      <w:r w:rsidR="00E17D96">
        <w:rPr>
          <w:sz w:val="24"/>
        </w:rPr>
        <w:t xml:space="preserve"> </w:t>
      </w:r>
      <w:r>
        <w:rPr>
          <w:sz w:val="24"/>
        </w:rPr>
        <w:lastRenderedPageBreak/>
        <w:t xml:space="preserve">investors. The evidence seems to suggest that a more positive tone could elicit more shareholder </w:t>
      </w:r>
      <w:r w:rsidR="0036149E">
        <w:rPr>
          <w:sz w:val="24"/>
        </w:rPr>
        <w:t xml:space="preserve">interest in voting. </w:t>
      </w:r>
    </w:p>
    <w:p w14:paraId="146ED47C" w14:textId="14C67EB7" w:rsidR="0036149E" w:rsidRDefault="0036149E" w:rsidP="00E60E8A">
      <w:pPr>
        <w:spacing w:line="480" w:lineRule="auto"/>
        <w:jc w:val="both"/>
        <w:rPr>
          <w:sz w:val="24"/>
        </w:rPr>
      </w:pPr>
      <w:r>
        <w:rPr>
          <w:sz w:val="24"/>
        </w:rPr>
        <w:tab/>
        <w:t xml:space="preserve">Examining the voting decisions, we find that the fog index is not related to the percentage of voting shareholders who vote in favour of the RPT resolutions, suggesting that the readability of RPT disclosure does not seem to affect investors’ voting decisions. In contrast, we find a positive and statistically significant association between the tone of RPT disclosure and the percentage of shares voted in favour of the RPT resolutions. This positive association is driven by votes casted by institutional investors. For retail investors, the tone of disclosure is not related to their shares casted to support the resolutions. The evidence suggests that tone of disclosure has some impact on the voting decision of institutional investors and that a more positive tone is related to more support from institutional investors on the RPT resolutions. </w:t>
      </w:r>
      <w:r w:rsidR="00606294">
        <w:rPr>
          <w:sz w:val="24"/>
        </w:rPr>
        <w:t xml:space="preserve">However, we don’t find that the tone of the disclosure is related to the probability that the RPT resolution is passed, likely because only 1% of RPT resolutions are vetoed and thus </w:t>
      </w:r>
      <w:r w:rsidR="00043DF5">
        <w:rPr>
          <w:sz w:val="24"/>
        </w:rPr>
        <w:t xml:space="preserve">there is </w:t>
      </w:r>
      <w:r w:rsidR="00606294">
        <w:rPr>
          <w:sz w:val="24"/>
        </w:rPr>
        <w:t xml:space="preserve">little variation in voting outcomes. </w:t>
      </w:r>
    </w:p>
    <w:p w14:paraId="505EA9D7" w14:textId="203B784A" w:rsidR="00606294" w:rsidRDefault="00606294" w:rsidP="00E60E8A">
      <w:pPr>
        <w:spacing w:line="480" w:lineRule="auto"/>
        <w:jc w:val="both"/>
        <w:rPr>
          <w:sz w:val="24"/>
        </w:rPr>
      </w:pPr>
      <w:r>
        <w:rPr>
          <w:sz w:val="24"/>
        </w:rPr>
        <w:tab/>
        <w:t xml:space="preserve">We proceed to investigate whether the positive association between the tone of the disclosure and institutional investors’ support of the resolution is driven by the tone management or the positive information of the managers. To differentiate these two potential explanations, we first examine whether the tone of disclosure is related to </w:t>
      </w:r>
      <w:r w:rsidR="00043DF5">
        <w:rPr>
          <w:sz w:val="24"/>
        </w:rPr>
        <w:t xml:space="preserve">future profitability of the firms. If the positive tone reflects managers’ positive information, we expect the tone to be positively related to future profitability. Alternatively, since the tone is about the proposed RPTs, RPTs with a more positive tone could reflects managers’ optimistic forecasts on the positive effect of the RPTs on future performance, suggesting that future profitability could be positively related to the interaction term between RPTs and the tone. Using ROA in year t+1 to measure future profitability, we find neither the tone itself nor the interaction term between </w:t>
      </w:r>
      <w:r w:rsidR="00043DF5">
        <w:rPr>
          <w:sz w:val="24"/>
        </w:rPr>
        <w:lastRenderedPageBreak/>
        <w:t xml:space="preserve">the tone and RPTs are positively related to future profitability. The evidence suggests that the tone of disclosure does not seem to have any information content about future profitability. </w:t>
      </w:r>
    </w:p>
    <w:p w14:paraId="625B7C5D" w14:textId="264C7381" w:rsidR="009572A1" w:rsidRDefault="00043DF5" w:rsidP="00E60E8A">
      <w:pPr>
        <w:spacing w:line="480" w:lineRule="auto"/>
        <w:jc w:val="both"/>
        <w:rPr>
          <w:sz w:val="24"/>
        </w:rPr>
      </w:pPr>
      <w:r>
        <w:rPr>
          <w:sz w:val="24"/>
        </w:rPr>
        <w:tab/>
        <w:t xml:space="preserve">Then we examine the market reactions to </w:t>
      </w:r>
      <w:r w:rsidR="007C0751">
        <w:rPr>
          <w:sz w:val="24"/>
        </w:rPr>
        <w:t>the voting outcomes of RPTs resolutions. Because vetoed RPT resolutions could be fundamentally different from passed ones, we focus on passed resolutions in the test. To provide clean evidence, we only examine the dates with only one resolution being voted. Using cumulative market-adjusted returns to measure market reactions, we find that the tone of RPT disclosure is negatively related to market reactions and this association is statistically significant at 1% level. This result is obtained after we control for the amount of RPT and a number of firm characteristics. The evidence suggests that investors do not perceive a positive tone to be a positive signal about future performance. Instead, investors seem to react more negatively to a positive tone of the RPT disclosure, implying they are able unravel the tone management.</w:t>
      </w:r>
    </w:p>
    <w:p w14:paraId="5CEAE9AF" w14:textId="70AC6D5B" w:rsidR="008B409D" w:rsidRDefault="009572A1" w:rsidP="00E60E8A">
      <w:pPr>
        <w:spacing w:line="480" w:lineRule="auto"/>
        <w:jc w:val="both"/>
        <w:rPr>
          <w:sz w:val="24"/>
        </w:rPr>
      </w:pPr>
      <w:r>
        <w:rPr>
          <w:sz w:val="24"/>
        </w:rPr>
        <w:tab/>
        <w:t>O</w:t>
      </w:r>
      <w:r w:rsidR="008B409D">
        <w:rPr>
          <w:sz w:val="24"/>
        </w:rPr>
        <w:t>ur study contributes the literature in t</w:t>
      </w:r>
      <w:r w:rsidR="005666B0">
        <w:rPr>
          <w:sz w:val="24"/>
        </w:rPr>
        <w:t>wo</w:t>
      </w:r>
      <w:r w:rsidR="008B409D">
        <w:rPr>
          <w:sz w:val="24"/>
        </w:rPr>
        <w:t xml:space="preserve"> ways. </w:t>
      </w:r>
      <w:r w:rsidR="00EF62D9">
        <w:rPr>
          <w:sz w:val="24"/>
        </w:rPr>
        <w:t>First, w</w:t>
      </w:r>
      <w:r w:rsidR="00EF62D9" w:rsidRPr="00EF62D9">
        <w:rPr>
          <w:sz w:val="24"/>
        </w:rPr>
        <w:t xml:space="preserve">e contribute to the literature on shareholder voting by examining the role of disclosure. </w:t>
      </w:r>
      <w:r w:rsidR="00EF62D9">
        <w:rPr>
          <w:sz w:val="24"/>
        </w:rPr>
        <w:t>While prior studies</w:t>
      </w:r>
      <w:r w:rsidR="00EF62D9" w:rsidRPr="00EF62D9">
        <w:rPr>
          <w:sz w:val="24"/>
        </w:rPr>
        <w:t xml:space="preserve"> find that granting shareholder voting power deters value-destroying corporate actions</w:t>
      </w:r>
      <w:r w:rsidR="00EF62D9">
        <w:rPr>
          <w:sz w:val="24"/>
        </w:rPr>
        <w:t xml:space="preserve"> and improving firm value (e.g., </w:t>
      </w:r>
      <w:r w:rsidR="00EF62D9" w:rsidRPr="00EF62D9">
        <w:rPr>
          <w:sz w:val="24"/>
        </w:rPr>
        <w:t>Chen, Ke and Yang 2013</w:t>
      </w:r>
      <w:r w:rsidR="00EF62D9">
        <w:rPr>
          <w:sz w:val="24"/>
        </w:rPr>
        <w:t xml:space="preserve">; </w:t>
      </w:r>
      <w:r w:rsidR="00EF62D9" w:rsidRPr="00EF62D9">
        <w:rPr>
          <w:sz w:val="24"/>
        </w:rPr>
        <w:t>Becht, Polo and Rossi 2016</w:t>
      </w:r>
      <w:r w:rsidR="00EF62D9">
        <w:rPr>
          <w:sz w:val="24"/>
        </w:rPr>
        <w:t>; Li 2018), we are the first one to examine the effect of information disclosure in shareholders’ voting decisions. As</w:t>
      </w:r>
      <w:r w:rsidR="00EF62D9" w:rsidRPr="00EF62D9">
        <w:rPr>
          <w:sz w:val="24"/>
        </w:rPr>
        <w:t xml:space="preserve"> Djankov et al., (2008) suggest</w:t>
      </w:r>
      <w:r w:rsidR="00EF62D9">
        <w:rPr>
          <w:sz w:val="24"/>
        </w:rPr>
        <w:t xml:space="preserve">, </w:t>
      </w:r>
      <w:r w:rsidR="00EF62D9" w:rsidRPr="00EF62D9">
        <w:rPr>
          <w:sz w:val="24"/>
        </w:rPr>
        <w:t xml:space="preserve">mandatory shareholder approval </w:t>
      </w:r>
      <w:r w:rsidR="00EF62D9">
        <w:rPr>
          <w:sz w:val="24"/>
        </w:rPr>
        <w:t xml:space="preserve">must work together with </w:t>
      </w:r>
      <w:r w:rsidR="00EF62D9" w:rsidRPr="00EF62D9">
        <w:rPr>
          <w:sz w:val="24"/>
        </w:rPr>
        <w:t xml:space="preserve">disclosure transparency </w:t>
      </w:r>
      <w:r w:rsidR="00EF62D9">
        <w:rPr>
          <w:sz w:val="24"/>
        </w:rPr>
        <w:t xml:space="preserve">to be effective in constrain </w:t>
      </w:r>
      <w:r w:rsidR="00EF62D9" w:rsidRPr="00EF62D9">
        <w:rPr>
          <w:sz w:val="24"/>
        </w:rPr>
        <w:t>expropriation</w:t>
      </w:r>
      <w:r w:rsidR="00EF62D9">
        <w:rPr>
          <w:sz w:val="24"/>
        </w:rPr>
        <w:t xml:space="preserve"> by controlling shareholders and corporate insiders. Our results show that information disclosure does have some effect on shareholders’ voting decisions</w:t>
      </w:r>
      <w:r w:rsidR="00E555DB">
        <w:rPr>
          <w:sz w:val="24"/>
        </w:rPr>
        <w:t xml:space="preserve"> and particularly the tone of disclosure seems to be related to more shareholders participating in the voting and voting in favour of the resolution. This result is important for regulators and shareholders, as our analysis suggests that the tone of the disclosure could be managed by corporate insiders to obtain the voting outcomes that they desire</w:t>
      </w:r>
      <w:r w:rsidR="00EF62D9">
        <w:rPr>
          <w:sz w:val="24"/>
        </w:rPr>
        <w:t xml:space="preserve">. </w:t>
      </w:r>
    </w:p>
    <w:p w14:paraId="656D10E1" w14:textId="78A3B6CC" w:rsidR="00EF62D9" w:rsidRDefault="00EF62D9" w:rsidP="00E60E8A">
      <w:pPr>
        <w:spacing w:line="480" w:lineRule="auto"/>
        <w:jc w:val="both"/>
        <w:rPr>
          <w:sz w:val="24"/>
        </w:rPr>
      </w:pPr>
      <w:r>
        <w:rPr>
          <w:sz w:val="24"/>
        </w:rPr>
        <w:lastRenderedPageBreak/>
        <w:tab/>
        <w:t xml:space="preserve">Second, we </w:t>
      </w:r>
      <w:r w:rsidRPr="00EF62D9">
        <w:rPr>
          <w:sz w:val="24"/>
        </w:rPr>
        <w:t>contribute to the literature on the effect of the regulation on RPTs. While many RPTs are legitimate transactions that facilitate firms’ operations, corporate insiders can structure RPTs to tunnel firms’ assets. This is particularly a concern in emerging markets such as India where investor protection is relatively we</w:t>
      </w:r>
      <w:r w:rsidR="00B776A4">
        <w:rPr>
          <w:sz w:val="24"/>
        </w:rPr>
        <w:t>a</w:t>
      </w:r>
      <w:r w:rsidRPr="00EF62D9">
        <w:rPr>
          <w:sz w:val="24"/>
        </w:rPr>
        <w:t xml:space="preserve">k and controlling shareholders and promoters have the control of the firm. </w:t>
      </w:r>
      <w:r w:rsidR="005666B0">
        <w:rPr>
          <w:sz w:val="24"/>
        </w:rPr>
        <w:t>Around the world, regulators take different approaches to cur</w:t>
      </w:r>
      <w:r w:rsidR="003F5761">
        <w:rPr>
          <w:sz w:val="24"/>
        </w:rPr>
        <w:t>b</w:t>
      </w:r>
      <w:r w:rsidR="005666B0">
        <w:rPr>
          <w:sz w:val="24"/>
        </w:rPr>
        <w:t xml:space="preserve"> expropriating RPTs while retaining legitimate ones. For example, </w:t>
      </w:r>
      <w:r w:rsidR="0084490D">
        <w:rPr>
          <w:sz w:val="24"/>
        </w:rPr>
        <w:t xml:space="preserve">in the US, SEC required firms to disclose the </w:t>
      </w:r>
      <w:r w:rsidR="008003DF">
        <w:rPr>
          <w:sz w:val="24"/>
        </w:rPr>
        <w:t>approval process</w:t>
      </w:r>
      <w:r w:rsidR="0084490D">
        <w:rPr>
          <w:sz w:val="24"/>
        </w:rPr>
        <w:t xml:space="preserve"> of RPTs in annual report since 2006, which reduced RPT volume and firms’ cost of capital (Hope and Lu 2019). In China, it took joint enforcement actions by eight ministries to constrain rampant RPTs in the forms of loans to executives (Jiang et al. 2010). In India, t</w:t>
      </w:r>
      <w:r w:rsidRPr="00EF62D9">
        <w:rPr>
          <w:sz w:val="24"/>
        </w:rPr>
        <w:t>he 2013 Securit</w:t>
      </w:r>
      <w:r>
        <w:rPr>
          <w:sz w:val="24"/>
        </w:rPr>
        <w:t>ies</w:t>
      </w:r>
      <w:r w:rsidRPr="00EF62D9">
        <w:rPr>
          <w:sz w:val="24"/>
        </w:rPr>
        <w:t xml:space="preserve"> Act </w:t>
      </w:r>
      <w:r>
        <w:rPr>
          <w:sz w:val="24"/>
        </w:rPr>
        <w:t>and the rule issued by SEBI empower</w:t>
      </w:r>
      <w:r w:rsidRPr="00EF62D9">
        <w:rPr>
          <w:sz w:val="24"/>
        </w:rPr>
        <w:t xml:space="preserve"> shareholders to vote on RPTs, which deter expropriating RPTs</w:t>
      </w:r>
      <w:r>
        <w:rPr>
          <w:sz w:val="24"/>
        </w:rPr>
        <w:t xml:space="preserve"> (Li 2018)</w:t>
      </w:r>
      <w:r w:rsidRPr="00EF62D9">
        <w:rPr>
          <w:sz w:val="24"/>
        </w:rPr>
        <w:t xml:space="preserve">. </w:t>
      </w:r>
      <w:r w:rsidR="005666B0">
        <w:rPr>
          <w:sz w:val="24"/>
        </w:rPr>
        <w:t xml:space="preserve">Our results show that the regulation also </w:t>
      </w:r>
      <w:r w:rsidR="00B776A4">
        <w:rPr>
          <w:sz w:val="24"/>
        </w:rPr>
        <w:t xml:space="preserve">has </w:t>
      </w:r>
      <w:r w:rsidR="00E555DB">
        <w:rPr>
          <w:sz w:val="24"/>
        </w:rPr>
        <w:t>some unintended effects, such as decrease in the readability of disclosure over time and tone management to influence voting outcomes. These results provide some warning to regulators and investors when examining firms’ RPT disclosure before voting takes place</w:t>
      </w:r>
      <w:r w:rsidR="00F76DD9">
        <w:rPr>
          <w:sz w:val="24"/>
        </w:rPr>
        <w:t>.</w:t>
      </w:r>
    </w:p>
    <w:p w14:paraId="403603B6" w14:textId="74C59046" w:rsidR="008B409D" w:rsidRDefault="005666B0" w:rsidP="00E60E8A">
      <w:pPr>
        <w:spacing w:line="480" w:lineRule="auto"/>
        <w:jc w:val="both"/>
        <w:rPr>
          <w:sz w:val="24"/>
        </w:rPr>
      </w:pPr>
      <w:r>
        <w:rPr>
          <w:sz w:val="24"/>
        </w:rPr>
        <w:tab/>
        <w:t xml:space="preserve"> </w:t>
      </w:r>
      <w:r w:rsidR="00F76DD9">
        <w:rPr>
          <w:sz w:val="24"/>
        </w:rPr>
        <w:t xml:space="preserve">The remainder of the paper proceeds as follows. Section 2 discusses institutional background and related studies. We describe the sample and data in Section 3, and report the empirical results in Section 4. Section 5 concludes. </w:t>
      </w:r>
    </w:p>
    <w:p w14:paraId="313ADD3A" w14:textId="0E9E8106" w:rsidR="008B409D" w:rsidRDefault="008B409D" w:rsidP="00E60E8A">
      <w:pPr>
        <w:spacing w:line="480" w:lineRule="auto"/>
        <w:jc w:val="both"/>
        <w:rPr>
          <w:sz w:val="24"/>
        </w:rPr>
      </w:pPr>
    </w:p>
    <w:p w14:paraId="71C870F5" w14:textId="566C582B" w:rsidR="008B409D" w:rsidRPr="008B409D" w:rsidRDefault="008B409D" w:rsidP="00E60E8A">
      <w:pPr>
        <w:spacing w:line="480" w:lineRule="auto"/>
        <w:jc w:val="both"/>
        <w:rPr>
          <w:b/>
          <w:sz w:val="24"/>
        </w:rPr>
      </w:pPr>
      <w:r w:rsidRPr="008B409D">
        <w:rPr>
          <w:b/>
          <w:sz w:val="24"/>
        </w:rPr>
        <w:t xml:space="preserve">2. Institutional </w:t>
      </w:r>
      <w:r>
        <w:rPr>
          <w:b/>
          <w:sz w:val="24"/>
        </w:rPr>
        <w:t>B</w:t>
      </w:r>
      <w:r w:rsidRPr="008B409D">
        <w:rPr>
          <w:b/>
          <w:sz w:val="24"/>
        </w:rPr>
        <w:t xml:space="preserve">ackground and </w:t>
      </w:r>
      <w:r>
        <w:rPr>
          <w:b/>
          <w:sz w:val="24"/>
        </w:rPr>
        <w:t>Related S</w:t>
      </w:r>
      <w:r w:rsidRPr="008B409D">
        <w:rPr>
          <w:b/>
          <w:sz w:val="24"/>
        </w:rPr>
        <w:t>tudies</w:t>
      </w:r>
    </w:p>
    <w:p w14:paraId="4A03C80B" w14:textId="3B1416F8" w:rsidR="008B409D" w:rsidRPr="00F76DD9" w:rsidRDefault="00F76DD9" w:rsidP="00E60E8A">
      <w:pPr>
        <w:spacing w:line="480" w:lineRule="auto"/>
        <w:jc w:val="both"/>
        <w:rPr>
          <w:i/>
          <w:sz w:val="24"/>
        </w:rPr>
      </w:pPr>
      <w:r w:rsidRPr="00F76DD9">
        <w:rPr>
          <w:i/>
          <w:sz w:val="24"/>
        </w:rPr>
        <w:t>2.1 Institutional background</w:t>
      </w:r>
    </w:p>
    <w:p w14:paraId="0CC2095B" w14:textId="3BA8BB1A" w:rsidR="00F76DD9" w:rsidRDefault="004E5A7D" w:rsidP="00E60E8A">
      <w:pPr>
        <w:spacing w:line="480" w:lineRule="auto"/>
        <w:jc w:val="both"/>
        <w:rPr>
          <w:sz w:val="24"/>
        </w:rPr>
      </w:pPr>
      <w:r>
        <w:rPr>
          <w:sz w:val="24"/>
        </w:rPr>
        <w:tab/>
      </w:r>
      <w:r w:rsidR="00127E79">
        <w:rPr>
          <w:sz w:val="24"/>
        </w:rPr>
        <w:t xml:space="preserve">RPTs </w:t>
      </w:r>
      <w:r w:rsidR="003E342E">
        <w:rPr>
          <w:sz w:val="24"/>
        </w:rPr>
        <w:t>usually refers transactions between a firm and a party, either an individual or an equity, that has connections with the directors or managers</w:t>
      </w:r>
      <w:r w:rsidR="00F07A08">
        <w:rPr>
          <w:sz w:val="24"/>
        </w:rPr>
        <w:t xml:space="preserve"> of the firm. While many RPTs are legitimate and help facilitate firms’</w:t>
      </w:r>
      <w:r w:rsidR="00972019">
        <w:rPr>
          <w:sz w:val="24"/>
        </w:rPr>
        <w:t xml:space="preserve"> operations by reducing transaction costs, it has long been a concern to outside investors and regulators around that w</w:t>
      </w:r>
      <w:r w:rsidR="00F319EF">
        <w:rPr>
          <w:sz w:val="24"/>
        </w:rPr>
        <w:t xml:space="preserve">orld that RPTs can be misused by </w:t>
      </w:r>
      <w:r w:rsidR="00F319EF">
        <w:rPr>
          <w:sz w:val="24"/>
        </w:rPr>
        <w:lastRenderedPageBreak/>
        <w:t>corporate insiders and controlling shareholders to expropriate firms’ re</w:t>
      </w:r>
      <w:r w:rsidR="00A42827">
        <w:rPr>
          <w:sz w:val="24"/>
        </w:rPr>
        <w:t>s</w:t>
      </w:r>
      <w:r w:rsidR="00F319EF">
        <w:rPr>
          <w:sz w:val="24"/>
        </w:rPr>
        <w:t>ources</w:t>
      </w:r>
      <w:r w:rsidR="00D745A4">
        <w:rPr>
          <w:sz w:val="24"/>
        </w:rPr>
        <w:t xml:space="preserve">. </w:t>
      </w:r>
      <w:r w:rsidR="00420F41">
        <w:rPr>
          <w:sz w:val="24"/>
        </w:rPr>
        <w:t>Particularly in emerging markets including China and India, due to the concentrated ownership</w:t>
      </w:r>
      <w:r w:rsidR="00372E2F">
        <w:rPr>
          <w:sz w:val="24"/>
        </w:rPr>
        <w:t xml:space="preserve">, lax law enforcement, and weak investor protection, </w:t>
      </w:r>
      <w:r w:rsidR="009132D9">
        <w:rPr>
          <w:sz w:val="24"/>
        </w:rPr>
        <w:t xml:space="preserve">there is a high risk that </w:t>
      </w:r>
      <w:r w:rsidR="000529FE">
        <w:rPr>
          <w:sz w:val="24"/>
        </w:rPr>
        <w:t xml:space="preserve">RPTs </w:t>
      </w:r>
      <w:r w:rsidR="009132D9">
        <w:rPr>
          <w:sz w:val="24"/>
        </w:rPr>
        <w:t xml:space="preserve">are </w:t>
      </w:r>
      <w:r w:rsidR="007458B3">
        <w:rPr>
          <w:sz w:val="24"/>
        </w:rPr>
        <w:t>structured by insides to tunnel firms’ assets</w:t>
      </w:r>
      <w:r w:rsidR="00C50BF1">
        <w:rPr>
          <w:sz w:val="24"/>
        </w:rPr>
        <w:t xml:space="preserve">. In India, before 2013, RPTs </w:t>
      </w:r>
      <w:r w:rsidR="00235988">
        <w:rPr>
          <w:sz w:val="24"/>
        </w:rPr>
        <w:t xml:space="preserve">were </w:t>
      </w:r>
      <w:r w:rsidR="00C50BF1">
        <w:rPr>
          <w:sz w:val="24"/>
        </w:rPr>
        <w:t xml:space="preserve">subject to regulations including Clause 49 </w:t>
      </w:r>
      <w:r w:rsidR="00B847A8">
        <w:rPr>
          <w:sz w:val="24"/>
        </w:rPr>
        <w:t>of the Listing Agreement issued by SEBI</w:t>
      </w:r>
      <w:r w:rsidR="0087194D">
        <w:rPr>
          <w:sz w:val="24"/>
        </w:rPr>
        <w:t xml:space="preserve"> and accounting standard AS-18. </w:t>
      </w:r>
      <w:r w:rsidR="00997219">
        <w:rPr>
          <w:sz w:val="24"/>
        </w:rPr>
        <w:t xml:space="preserve">Clause 49 required firms to submit RPTs to </w:t>
      </w:r>
      <w:r w:rsidR="00931AF6">
        <w:rPr>
          <w:sz w:val="24"/>
        </w:rPr>
        <w:t>audit committees for review and approval</w:t>
      </w:r>
      <w:r w:rsidR="00BC7A8E">
        <w:rPr>
          <w:sz w:val="24"/>
        </w:rPr>
        <w:t>. AS-18 required firms to disclose</w:t>
      </w:r>
      <w:r w:rsidR="005E23D1">
        <w:rPr>
          <w:sz w:val="24"/>
        </w:rPr>
        <w:t xml:space="preserve"> in the footnote of financial statements information about</w:t>
      </w:r>
      <w:r w:rsidR="00BC7A8E">
        <w:rPr>
          <w:sz w:val="24"/>
        </w:rPr>
        <w:t xml:space="preserve"> RPTs</w:t>
      </w:r>
      <w:r w:rsidR="004A60A0">
        <w:rPr>
          <w:sz w:val="24"/>
        </w:rPr>
        <w:t xml:space="preserve"> such as the nature of relationship and the amount of </w:t>
      </w:r>
      <w:r w:rsidR="00AB2EA5">
        <w:rPr>
          <w:sz w:val="24"/>
        </w:rPr>
        <w:t xml:space="preserve">transactions with each related party. </w:t>
      </w:r>
      <w:r w:rsidR="00813FDA">
        <w:rPr>
          <w:sz w:val="24"/>
        </w:rPr>
        <w:t xml:space="preserve">However, these regulation did not seem to effective constrain </w:t>
      </w:r>
      <w:r w:rsidR="00FC18CF">
        <w:rPr>
          <w:sz w:val="24"/>
        </w:rPr>
        <w:t xml:space="preserve">abusive RPTs in India. </w:t>
      </w:r>
      <w:r w:rsidR="00FC18CF" w:rsidRPr="00FC18CF">
        <w:rPr>
          <w:sz w:val="24"/>
        </w:rPr>
        <w:t>Srinivasan</w:t>
      </w:r>
      <w:r w:rsidR="00FC18CF">
        <w:rPr>
          <w:sz w:val="24"/>
        </w:rPr>
        <w:t xml:space="preserve"> (201</w:t>
      </w:r>
      <w:r w:rsidR="007E7202">
        <w:rPr>
          <w:sz w:val="24"/>
        </w:rPr>
        <w:t>3) finds that RPTs were widespread and</w:t>
      </w:r>
      <w:r w:rsidR="001E6E34">
        <w:rPr>
          <w:sz w:val="24"/>
        </w:rPr>
        <w:t xml:space="preserve"> firms with high RPTs </w:t>
      </w:r>
      <w:r w:rsidR="009C38A4">
        <w:rPr>
          <w:sz w:val="24"/>
        </w:rPr>
        <w:t>report</w:t>
      </w:r>
      <w:r w:rsidR="007E1D22">
        <w:rPr>
          <w:sz w:val="24"/>
        </w:rPr>
        <w:t>ed</w:t>
      </w:r>
      <w:r w:rsidR="009C38A4">
        <w:rPr>
          <w:sz w:val="24"/>
        </w:rPr>
        <w:t xml:space="preserve"> lower performance</w:t>
      </w:r>
      <w:r w:rsidR="007E1D22">
        <w:rPr>
          <w:sz w:val="24"/>
        </w:rPr>
        <w:t xml:space="preserve"> over the period from 2009 to 2011</w:t>
      </w:r>
      <w:r w:rsidR="009C38A4">
        <w:rPr>
          <w:sz w:val="24"/>
        </w:rPr>
        <w:t xml:space="preserve">, suggesting expropriating RPTs </w:t>
      </w:r>
      <w:r w:rsidR="007E1D22">
        <w:rPr>
          <w:sz w:val="24"/>
        </w:rPr>
        <w:t xml:space="preserve">undermine firm performance at the cost of outside investors. </w:t>
      </w:r>
      <w:r w:rsidR="00B0212D">
        <w:rPr>
          <w:sz w:val="24"/>
        </w:rPr>
        <w:t xml:space="preserve">The problems of RPTs in India </w:t>
      </w:r>
      <w:r w:rsidR="00DE2869">
        <w:rPr>
          <w:sz w:val="24"/>
        </w:rPr>
        <w:t xml:space="preserve">are </w:t>
      </w:r>
      <w:r w:rsidR="00E45D0E">
        <w:rPr>
          <w:sz w:val="24"/>
        </w:rPr>
        <w:t>highlighted in t</w:t>
      </w:r>
      <w:r w:rsidR="003D0D1F">
        <w:rPr>
          <w:sz w:val="24"/>
        </w:rPr>
        <w:t>he Satyam</w:t>
      </w:r>
      <w:r w:rsidR="00D32159">
        <w:rPr>
          <w:sz w:val="24"/>
        </w:rPr>
        <w:t xml:space="preserve"> sca</w:t>
      </w:r>
      <w:r w:rsidR="003D0D1F">
        <w:rPr>
          <w:sz w:val="24"/>
        </w:rPr>
        <w:t xml:space="preserve">ndal in 2008 </w:t>
      </w:r>
      <w:r w:rsidR="00E45D0E">
        <w:rPr>
          <w:sz w:val="24"/>
        </w:rPr>
        <w:t xml:space="preserve">when the large shareholder of Satyam Computers, Ramalinga Raju, intended to </w:t>
      </w:r>
      <w:r w:rsidR="00513916">
        <w:rPr>
          <w:sz w:val="24"/>
        </w:rPr>
        <w:t xml:space="preserve">transfer USD 1.6 billion from Satyam Computers to two firms that under his control. </w:t>
      </w:r>
      <w:r w:rsidR="002E7D77">
        <w:rPr>
          <w:sz w:val="24"/>
        </w:rPr>
        <w:t xml:space="preserve">Later investigation found that Satyam </w:t>
      </w:r>
      <w:r w:rsidR="002C62AB">
        <w:rPr>
          <w:sz w:val="24"/>
        </w:rPr>
        <w:t>also engaged in accounting fraud and over-stated its cash balance by</w:t>
      </w:r>
      <w:r w:rsidR="00AA5492">
        <w:rPr>
          <w:sz w:val="24"/>
        </w:rPr>
        <w:t xml:space="preserve"> over USD 1 billion. </w:t>
      </w:r>
    </w:p>
    <w:p w14:paraId="370FBBCD" w14:textId="66AFDD28" w:rsidR="00AA5492" w:rsidRDefault="00AA5492" w:rsidP="00E60E8A">
      <w:pPr>
        <w:spacing w:line="480" w:lineRule="auto"/>
        <w:jc w:val="both"/>
        <w:rPr>
          <w:sz w:val="23"/>
          <w:szCs w:val="23"/>
        </w:rPr>
      </w:pPr>
      <w:r>
        <w:rPr>
          <w:sz w:val="24"/>
        </w:rPr>
        <w:tab/>
        <w:t>In 2013, India</w:t>
      </w:r>
      <w:r w:rsidR="009677E6">
        <w:rPr>
          <w:sz w:val="24"/>
        </w:rPr>
        <w:t xml:space="preserve"> adopted the new Companies Act which</w:t>
      </w:r>
      <w:r w:rsidR="00E12AD0">
        <w:rPr>
          <w:sz w:val="24"/>
        </w:rPr>
        <w:t xml:space="preserve"> requires </w:t>
      </w:r>
      <w:r w:rsidR="00386C8B">
        <w:rPr>
          <w:sz w:val="24"/>
        </w:rPr>
        <w:t>RPTs</w:t>
      </w:r>
      <w:r w:rsidR="009900C3">
        <w:rPr>
          <w:sz w:val="24"/>
        </w:rPr>
        <w:t xml:space="preserve"> that are not an arm’s length</w:t>
      </w:r>
      <w:r w:rsidR="0029669E">
        <w:rPr>
          <w:sz w:val="24"/>
        </w:rPr>
        <w:t xml:space="preserve"> basis</w:t>
      </w:r>
      <w:r w:rsidR="00E12AD0">
        <w:rPr>
          <w:sz w:val="24"/>
        </w:rPr>
        <w:t xml:space="preserve"> to be approved by </w:t>
      </w:r>
      <w:r w:rsidR="002A4412">
        <w:rPr>
          <w:sz w:val="24"/>
        </w:rPr>
        <w:t>the board</w:t>
      </w:r>
      <w:r w:rsidR="0029669E">
        <w:rPr>
          <w:sz w:val="24"/>
        </w:rPr>
        <w:t xml:space="preserve"> of di</w:t>
      </w:r>
      <w:r w:rsidR="00386C8B">
        <w:rPr>
          <w:sz w:val="24"/>
        </w:rPr>
        <w:t>rectors</w:t>
      </w:r>
      <w:r w:rsidR="00DA4D67">
        <w:rPr>
          <w:sz w:val="24"/>
        </w:rPr>
        <w:t>.</w:t>
      </w:r>
      <w:r w:rsidR="007E7E73">
        <w:rPr>
          <w:rStyle w:val="FootnoteReference"/>
          <w:sz w:val="24"/>
        </w:rPr>
        <w:footnoteReference w:id="4"/>
      </w:r>
      <w:r w:rsidR="00DA4D67">
        <w:rPr>
          <w:sz w:val="24"/>
        </w:rPr>
        <w:t xml:space="preserve"> And if the amount of RPTs exceed a prescribed amount, </w:t>
      </w:r>
      <w:r w:rsidR="00CD09B7">
        <w:rPr>
          <w:sz w:val="24"/>
        </w:rPr>
        <w:t xml:space="preserve">then shareholders’ approval is required. </w:t>
      </w:r>
      <w:r w:rsidR="00BC6FE4">
        <w:rPr>
          <w:sz w:val="24"/>
        </w:rPr>
        <w:t>SEBI followed wit</w:t>
      </w:r>
      <w:r w:rsidR="005F5F23">
        <w:rPr>
          <w:sz w:val="24"/>
        </w:rPr>
        <w:t xml:space="preserve">h the new Listing </w:t>
      </w:r>
      <w:r w:rsidR="005940FD">
        <w:rPr>
          <w:sz w:val="24"/>
        </w:rPr>
        <w:t xml:space="preserve">Obligations and Disclosure Requirements, which provide more detailed guidance on RPTs. </w:t>
      </w:r>
      <w:r w:rsidR="00177454">
        <w:rPr>
          <w:sz w:val="24"/>
        </w:rPr>
        <w:t xml:space="preserve">Specifically, </w:t>
      </w:r>
      <w:r w:rsidR="00F46C82">
        <w:rPr>
          <w:sz w:val="24"/>
        </w:rPr>
        <w:t xml:space="preserve">Section 23 </w:t>
      </w:r>
      <w:r w:rsidR="003E642D">
        <w:rPr>
          <w:sz w:val="24"/>
        </w:rPr>
        <w:t xml:space="preserve">states that </w:t>
      </w:r>
      <w:r w:rsidR="00177454">
        <w:rPr>
          <w:sz w:val="24"/>
        </w:rPr>
        <w:t xml:space="preserve">all RPTs </w:t>
      </w:r>
      <w:r w:rsidR="005E51A7">
        <w:rPr>
          <w:sz w:val="24"/>
        </w:rPr>
        <w:t xml:space="preserve">require prior approval of audit committees, and </w:t>
      </w:r>
      <w:r w:rsidR="003E642D">
        <w:rPr>
          <w:sz w:val="24"/>
        </w:rPr>
        <w:t xml:space="preserve">all </w:t>
      </w:r>
      <w:r w:rsidR="005E51A7">
        <w:rPr>
          <w:sz w:val="24"/>
        </w:rPr>
        <w:t>material RPTs</w:t>
      </w:r>
      <w:r w:rsidR="003E642D">
        <w:rPr>
          <w:sz w:val="24"/>
        </w:rPr>
        <w:t xml:space="preserve"> required </w:t>
      </w:r>
      <w:r w:rsidR="007866C8">
        <w:rPr>
          <w:sz w:val="24"/>
        </w:rPr>
        <w:t xml:space="preserve">approval of shareholders through resolution </w:t>
      </w:r>
      <w:r w:rsidR="009E788A">
        <w:rPr>
          <w:sz w:val="24"/>
        </w:rPr>
        <w:t>and the rel</w:t>
      </w:r>
      <w:r w:rsidR="00E03425">
        <w:rPr>
          <w:sz w:val="24"/>
        </w:rPr>
        <w:t>a</w:t>
      </w:r>
      <w:r w:rsidR="009E788A">
        <w:rPr>
          <w:sz w:val="24"/>
        </w:rPr>
        <w:t>t</w:t>
      </w:r>
      <w:r w:rsidR="00E03425">
        <w:rPr>
          <w:sz w:val="24"/>
        </w:rPr>
        <w:t>e</w:t>
      </w:r>
      <w:r w:rsidR="009E788A">
        <w:rPr>
          <w:sz w:val="24"/>
        </w:rPr>
        <w:t xml:space="preserve">d parties shall abstain from voting </w:t>
      </w:r>
      <w:r w:rsidR="00E03425">
        <w:rPr>
          <w:sz w:val="24"/>
        </w:rPr>
        <w:t xml:space="preserve">on such resolutions. </w:t>
      </w:r>
      <w:r w:rsidR="00F12C99">
        <w:rPr>
          <w:sz w:val="24"/>
        </w:rPr>
        <w:t>It also states that “</w:t>
      </w:r>
      <w:r w:rsidR="00F12C99">
        <w:rPr>
          <w:sz w:val="23"/>
          <w:szCs w:val="23"/>
        </w:rPr>
        <w:t xml:space="preserve">A transaction with a </w:t>
      </w:r>
      <w:r w:rsidR="00F12C99">
        <w:rPr>
          <w:sz w:val="23"/>
          <w:szCs w:val="23"/>
        </w:rPr>
        <w:lastRenderedPageBreak/>
        <w:t>related party shall be considered material if the transaction(s) to be entered into individually or taken together with previous transactions during a financial year, exceeds ten percent of the annual consolidated turnover of the listed entity as per the last audited financial statements of the listed entity.”</w:t>
      </w:r>
      <w:r w:rsidR="00DB0A89">
        <w:rPr>
          <w:rStyle w:val="FootnoteReference"/>
          <w:sz w:val="23"/>
          <w:szCs w:val="23"/>
        </w:rPr>
        <w:footnoteReference w:id="5"/>
      </w:r>
    </w:p>
    <w:p w14:paraId="5073AE7C" w14:textId="1937E08E" w:rsidR="00CF2D26" w:rsidRDefault="00CF2D26" w:rsidP="00E60E8A">
      <w:pPr>
        <w:spacing w:line="480" w:lineRule="auto"/>
        <w:jc w:val="both"/>
        <w:rPr>
          <w:sz w:val="24"/>
        </w:rPr>
      </w:pPr>
      <w:r>
        <w:rPr>
          <w:sz w:val="23"/>
          <w:szCs w:val="23"/>
        </w:rPr>
        <w:tab/>
        <w:t xml:space="preserve">Li (2018) finds that </w:t>
      </w:r>
      <w:r w:rsidR="00693DAE">
        <w:rPr>
          <w:sz w:val="23"/>
          <w:szCs w:val="23"/>
        </w:rPr>
        <w:t>after 2013 there is a significant decrease in material RPTs</w:t>
      </w:r>
      <w:r w:rsidR="00FC2D92">
        <w:rPr>
          <w:sz w:val="23"/>
          <w:szCs w:val="23"/>
        </w:rPr>
        <w:t xml:space="preserve"> and the association between RPTs and future p</w:t>
      </w:r>
      <w:r w:rsidR="003D3D57">
        <w:rPr>
          <w:sz w:val="23"/>
          <w:szCs w:val="23"/>
        </w:rPr>
        <w:t>rofitability becomes stronger</w:t>
      </w:r>
      <w:r w:rsidR="00693DAE">
        <w:rPr>
          <w:sz w:val="23"/>
          <w:szCs w:val="23"/>
        </w:rPr>
        <w:t xml:space="preserve">, suggesting that the </w:t>
      </w:r>
      <w:r w:rsidR="00FC2D92">
        <w:rPr>
          <w:sz w:val="23"/>
          <w:szCs w:val="23"/>
        </w:rPr>
        <w:t xml:space="preserve">mandatory voting may deter </w:t>
      </w:r>
      <w:r w:rsidR="00EE64B2">
        <w:rPr>
          <w:sz w:val="23"/>
          <w:szCs w:val="23"/>
        </w:rPr>
        <w:t>expropriating</w:t>
      </w:r>
      <w:r w:rsidR="00FC2D92">
        <w:rPr>
          <w:sz w:val="23"/>
          <w:szCs w:val="23"/>
        </w:rPr>
        <w:t xml:space="preserve"> RPTs</w:t>
      </w:r>
      <w:r w:rsidR="003D3D57">
        <w:rPr>
          <w:sz w:val="23"/>
          <w:szCs w:val="23"/>
        </w:rPr>
        <w:t xml:space="preserve"> and </w:t>
      </w:r>
      <w:r w:rsidR="00EE64B2">
        <w:rPr>
          <w:sz w:val="23"/>
          <w:szCs w:val="23"/>
        </w:rPr>
        <w:t xml:space="preserve">retain value increasing RPTs. </w:t>
      </w:r>
      <w:r w:rsidR="00FC2D92">
        <w:rPr>
          <w:sz w:val="23"/>
          <w:szCs w:val="23"/>
        </w:rPr>
        <w:t xml:space="preserve"> </w:t>
      </w:r>
      <w:r w:rsidR="00F15498">
        <w:rPr>
          <w:sz w:val="23"/>
          <w:szCs w:val="23"/>
        </w:rPr>
        <w:t xml:space="preserve">The deceases in </w:t>
      </w:r>
      <w:r w:rsidR="00E57D85">
        <w:rPr>
          <w:sz w:val="23"/>
          <w:szCs w:val="23"/>
        </w:rPr>
        <w:t>material</w:t>
      </w:r>
      <w:r w:rsidR="00F15498">
        <w:rPr>
          <w:sz w:val="23"/>
          <w:szCs w:val="23"/>
        </w:rPr>
        <w:t xml:space="preserve"> RPTs </w:t>
      </w:r>
      <w:r w:rsidR="00A53E41">
        <w:rPr>
          <w:sz w:val="23"/>
          <w:szCs w:val="23"/>
        </w:rPr>
        <w:t xml:space="preserve">are also related to an increase in foreign </w:t>
      </w:r>
      <w:r w:rsidR="00E57D85">
        <w:rPr>
          <w:sz w:val="23"/>
          <w:szCs w:val="23"/>
        </w:rPr>
        <w:t>institutional ownership, suggesting that</w:t>
      </w:r>
      <w:r w:rsidR="0036162C">
        <w:rPr>
          <w:sz w:val="23"/>
          <w:szCs w:val="23"/>
        </w:rPr>
        <w:t xml:space="preserve"> the voting rule help reduce foreign investors’ concern </w:t>
      </w:r>
      <w:r w:rsidR="00C36936">
        <w:rPr>
          <w:sz w:val="23"/>
          <w:szCs w:val="23"/>
        </w:rPr>
        <w:t xml:space="preserve">of being expropriated by corporate insiders. </w:t>
      </w:r>
    </w:p>
    <w:p w14:paraId="7804EE01" w14:textId="2C88191C" w:rsidR="00F76DD9" w:rsidRPr="00F76DD9" w:rsidRDefault="00F76DD9" w:rsidP="00E60E8A">
      <w:pPr>
        <w:spacing w:line="480" w:lineRule="auto"/>
        <w:jc w:val="both"/>
        <w:rPr>
          <w:i/>
          <w:sz w:val="24"/>
        </w:rPr>
      </w:pPr>
      <w:r w:rsidRPr="00F76DD9">
        <w:rPr>
          <w:i/>
          <w:sz w:val="24"/>
        </w:rPr>
        <w:t>2.2 Related studies</w:t>
      </w:r>
    </w:p>
    <w:p w14:paraId="7C38050F" w14:textId="033A74D6" w:rsidR="00F76DD9" w:rsidRDefault="00D246B4" w:rsidP="00E60E8A">
      <w:pPr>
        <w:spacing w:line="480" w:lineRule="auto"/>
        <w:jc w:val="both"/>
        <w:rPr>
          <w:sz w:val="24"/>
        </w:rPr>
      </w:pPr>
      <w:r>
        <w:rPr>
          <w:sz w:val="24"/>
        </w:rPr>
        <w:tab/>
        <w:t>Our study related to three</w:t>
      </w:r>
      <w:r w:rsidR="00C65F58">
        <w:rPr>
          <w:sz w:val="24"/>
        </w:rPr>
        <w:t xml:space="preserve"> streams of literature in accounting and finance. The first stream of research examines the effect of corporate disclosure on investors’ decision making. Particularly relevant are those studies on textual analysis of corporate disclosure, as surveyed by Li (2010) and Loughram and McDonald (2016). These studies show that readability and tone of disclosure could </w:t>
      </w:r>
      <w:r w:rsidR="0040193F">
        <w:rPr>
          <w:sz w:val="24"/>
        </w:rPr>
        <w:t>affect</w:t>
      </w:r>
      <w:r w:rsidR="00C65F58">
        <w:rPr>
          <w:sz w:val="24"/>
        </w:rPr>
        <w:t xml:space="preserve"> investors’ reactions to corporate disclosure. For example, Miller (2010) finds that </w:t>
      </w:r>
      <w:r w:rsidR="00EF3AA0">
        <w:rPr>
          <w:sz w:val="24"/>
        </w:rPr>
        <w:t>retail investors trade significantly less around 10K filling dates when firms annual reports are less readable, suggesting less readable annual reports are harder to process, especially for small investors. In an experimental setting, Rennekamp (2012) finds that more readable disclosures a</w:t>
      </w:r>
      <w:r w:rsidR="0024265E">
        <w:rPr>
          <w:sz w:val="24"/>
        </w:rPr>
        <w:t>r</w:t>
      </w:r>
      <w:r w:rsidR="00EF3AA0">
        <w:rPr>
          <w:sz w:val="24"/>
        </w:rPr>
        <w:t xml:space="preserve">e associated with stronger reactions for both good and bad news among participants. </w:t>
      </w:r>
      <w:r w:rsidR="0024265E">
        <w:rPr>
          <w:sz w:val="24"/>
        </w:rPr>
        <w:t xml:space="preserve">Firms may intentionally make the annual reports unreadable to hide adverse information (Kim et al. 2019), or have to use complex language to explain poor performance (Bloomfield 2008; Li 2008). Recently, </w:t>
      </w:r>
      <w:r w:rsidR="0024265E" w:rsidRPr="0024265E">
        <w:rPr>
          <w:sz w:val="24"/>
        </w:rPr>
        <w:t>Ganguly</w:t>
      </w:r>
      <w:r w:rsidR="0024265E">
        <w:rPr>
          <w:sz w:val="24"/>
        </w:rPr>
        <w:t xml:space="preserve"> et al. (2019) show that decreases in litigation risk are followed by improvement in readability of annual reports, suggesting that firms </w:t>
      </w:r>
      <w:r w:rsidR="0040193F">
        <w:rPr>
          <w:sz w:val="24"/>
        </w:rPr>
        <w:t xml:space="preserve">may </w:t>
      </w:r>
      <w:r w:rsidR="0024265E">
        <w:rPr>
          <w:sz w:val="24"/>
        </w:rPr>
        <w:t xml:space="preserve">use complex disclosure to </w:t>
      </w:r>
      <w:r w:rsidR="0040193F">
        <w:rPr>
          <w:sz w:val="24"/>
        </w:rPr>
        <w:t>decrease</w:t>
      </w:r>
      <w:r w:rsidR="0024265E">
        <w:rPr>
          <w:sz w:val="24"/>
        </w:rPr>
        <w:t xml:space="preserve"> litigation risk. </w:t>
      </w:r>
    </w:p>
    <w:p w14:paraId="2D2C4C71" w14:textId="5AC07BD0" w:rsidR="0024265E" w:rsidRDefault="0024265E" w:rsidP="00E60E8A">
      <w:pPr>
        <w:spacing w:line="480" w:lineRule="auto"/>
        <w:jc w:val="both"/>
        <w:rPr>
          <w:sz w:val="24"/>
        </w:rPr>
      </w:pPr>
      <w:r>
        <w:rPr>
          <w:sz w:val="24"/>
        </w:rPr>
        <w:lastRenderedPageBreak/>
        <w:tab/>
      </w:r>
      <w:r w:rsidR="00B030B1">
        <w:rPr>
          <w:sz w:val="24"/>
        </w:rPr>
        <w:t xml:space="preserve">Tone is another textual characteristic of </w:t>
      </w:r>
      <w:r w:rsidR="008A749D">
        <w:rPr>
          <w:sz w:val="24"/>
        </w:rPr>
        <w:t xml:space="preserve">disclosure. </w:t>
      </w:r>
      <w:r w:rsidR="0032740F">
        <w:rPr>
          <w:sz w:val="24"/>
        </w:rPr>
        <w:t>Li (2010) show that the tone of forward looking statements in the Management Discussion and Analysis section of 10-K and 10-Q fillings is positively associated with future earnings, suggesting that the tone may reflect managers’ positive information about future performance. However, Huang et al. (2014) argue that firms may manag</w:t>
      </w:r>
      <w:r w:rsidR="00C46555">
        <w:rPr>
          <w:sz w:val="24"/>
        </w:rPr>
        <w:t>e</w:t>
      </w:r>
      <w:r w:rsidR="0032740F">
        <w:rPr>
          <w:sz w:val="24"/>
        </w:rPr>
        <w:t xml:space="preserve"> the tone of disclosure to influence investors’ expectations. </w:t>
      </w:r>
      <w:r w:rsidR="0040193F">
        <w:rPr>
          <w:sz w:val="24"/>
        </w:rPr>
        <w:t>Examining earnings press releases, the authors find that abnormal positive tone of the releases predicts negative future earnings and cash flows, implying that managers use tone management to mislead investors. Furthermore, Rogers et al. (2011) find a positive association between disclosure tone and shareholder litigation, suggesting optimistic language increas</w:t>
      </w:r>
      <w:r w:rsidR="006F3CB8">
        <w:rPr>
          <w:sz w:val="24"/>
        </w:rPr>
        <w:t>es</w:t>
      </w:r>
      <w:r w:rsidR="0040193F">
        <w:rPr>
          <w:sz w:val="24"/>
        </w:rPr>
        <w:t xml:space="preserve"> litigation risk. </w:t>
      </w:r>
    </w:p>
    <w:p w14:paraId="7748E4FD" w14:textId="1BE3A276" w:rsidR="008B409D" w:rsidRDefault="0040193F" w:rsidP="00E60E8A">
      <w:pPr>
        <w:spacing w:line="480" w:lineRule="auto"/>
        <w:jc w:val="both"/>
        <w:rPr>
          <w:sz w:val="24"/>
        </w:rPr>
      </w:pPr>
      <w:r>
        <w:rPr>
          <w:sz w:val="24"/>
        </w:rPr>
        <w:tab/>
      </w:r>
      <w:r w:rsidR="00B94B8D">
        <w:rPr>
          <w:sz w:val="24"/>
        </w:rPr>
        <w:t xml:space="preserve">The second stream of relevant literature examines shareholder voting </w:t>
      </w:r>
      <w:r w:rsidR="00D246B4">
        <w:rPr>
          <w:sz w:val="24"/>
        </w:rPr>
        <w:t xml:space="preserve">around the world and generally finds that mandatory shareholder voting improves the quality of corporate decisions and firm value. For example, Chen et al. (2013) find that a regulation in China that grants minority shareholders’ greater power to veto a proposal results in significant improvements in proposals put forward by controlling shareholders. Becht et al. (2016) show that in UK after a regulation mandates large mergers and acquisitions to be subject to shareholder approval, the quality of acquisition significant improves. In India, Li (2018) shows that after the Companies Act 2013 requires material RPTs to be approved by disinterested shareholders, the RPTs decrease and the association of RPTs and future profitability improves. </w:t>
      </w:r>
    </w:p>
    <w:p w14:paraId="06DC39A6" w14:textId="255AB441" w:rsidR="00D246B4" w:rsidRDefault="00D246B4" w:rsidP="00E60E8A">
      <w:pPr>
        <w:spacing w:line="480" w:lineRule="auto"/>
        <w:jc w:val="both"/>
        <w:rPr>
          <w:sz w:val="24"/>
        </w:rPr>
      </w:pPr>
      <w:r>
        <w:rPr>
          <w:sz w:val="24"/>
        </w:rPr>
        <w:tab/>
        <w:t>The third stream of literature examines RPTs</w:t>
      </w:r>
      <w:r w:rsidR="004154E4">
        <w:rPr>
          <w:sz w:val="24"/>
        </w:rPr>
        <w:t>, which</w:t>
      </w:r>
      <w:r w:rsidR="009444F9">
        <w:rPr>
          <w:sz w:val="24"/>
        </w:rPr>
        <w:t xml:space="preserve"> could be </w:t>
      </w:r>
      <w:r>
        <w:rPr>
          <w:sz w:val="24"/>
        </w:rPr>
        <w:t>used l</w:t>
      </w:r>
      <w:r w:rsidR="004154E4">
        <w:rPr>
          <w:sz w:val="24"/>
        </w:rPr>
        <w:t xml:space="preserve">egitimately to reduce transaction costs and facilitate corporate operations, or be abused by corporate insiders to expropriate outside investors. While misuse of RPT for expropriating purpose seems more prevalent in countries with weak investor protection such as China and India (Bertrand et al 2002; Jiang et al 2010), expropriate RPTs also exists in developed markets. For example, </w:t>
      </w:r>
      <w:r w:rsidR="009444F9">
        <w:rPr>
          <w:sz w:val="24"/>
        </w:rPr>
        <w:t xml:space="preserve">Kohlbeck and Mayhew (2017) find that US firms with more RPTs are more likely to restate </w:t>
      </w:r>
      <w:r w:rsidR="009444F9">
        <w:rPr>
          <w:sz w:val="24"/>
        </w:rPr>
        <w:lastRenderedPageBreak/>
        <w:t xml:space="preserve">their financial statements in the future, suggesting earnings management to camouflage expropriating RPTs. Hope and Lu (2019) show that after a SEC regulation in 2006 that requires </w:t>
      </w:r>
      <w:r w:rsidR="007354F1">
        <w:rPr>
          <w:sz w:val="24"/>
        </w:rPr>
        <w:t xml:space="preserve">US </w:t>
      </w:r>
      <w:r w:rsidR="009444F9">
        <w:rPr>
          <w:sz w:val="24"/>
        </w:rPr>
        <w:t xml:space="preserve">firms to </w:t>
      </w:r>
      <w:r w:rsidR="00DE6D40">
        <w:rPr>
          <w:sz w:val="24"/>
        </w:rPr>
        <w:t xml:space="preserve">disclose </w:t>
      </w:r>
      <w:r w:rsidR="009444F9">
        <w:rPr>
          <w:sz w:val="24"/>
        </w:rPr>
        <w:t>governance policies on RPTs, there is a significant decrease in RPTs, implying the governance disclosure deters expropriating RPTs.</w:t>
      </w:r>
      <w:r w:rsidR="007354F1">
        <w:rPr>
          <w:sz w:val="24"/>
        </w:rPr>
        <w:t xml:space="preserve"> Kohlbeck and Mayhew (2010) find that US firms with RPTs have significantly lower market valuations, consistent with expropriating RPTs decreasing firm value. </w:t>
      </w:r>
    </w:p>
    <w:p w14:paraId="39D5530D" w14:textId="6B31C2B9" w:rsidR="009444F9" w:rsidRDefault="009444F9" w:rsidP="00E60E8A">
      <w:pPr>
        <w:spacing w:line="480" w:lineRule="auto"/>
        <w:jc w:val="both"/>
        <w:rPr>
          <w:sz w:val="24"/>
        </w:rPr>
      </w:pPr>
      <w:r>
        <w:rPr>
          <w:sz w:val="24"/>
        </w:rPr>
        <w:tab/>
        <w:t>Regulators around the world take different approaches to curb expropriating RPTs. In the US, except the mandatory disclosure on governance policies on RPTs, regulators seem to leave the issue to the board of directors to decide and hope the board, under the press of shareholders, will make the right decisions on RPTs. In China, the governments launched joint actions to curb expropriating RPTs, and issue regulation that RPTs (and many other important corporate decisions) must be approved by shareholders. In India, the Companies 2013 and subsequent SEBI Listing Obligations and Disclosure Requirement</w:t>
      </w:r>
      <w:r w:rsidR="007354F1">
        <w:rPr>
          <w:sz w:val="24"/>
        </w:rPr>
        <w:t xml:space="preserve">s mandate material RPTs to be subject of shareholder approval and only disinterested shareholders can vote. While shareholder voting seems to be an effective way to curb expropriating RPTs, there are several concerns. One concern is that it is unclear that shareholders will actively vote on the RPT resolutions, given the well-documented investor apathy in voting and corporate governance in general. Another concern is that shareholders may not have sufficient </w:t>
      </w:r>
      <w:r w:rsidR="001E39F0">
        <w:rPr>
          <w:sz w:val="24"/>
        </w:rPr>
        <w:t xml:space="preserve">information </w:t>
      </w:r>
      <w:r w:rsidR="007354F1">
        <w:rPr>
          <w:sz w:val="24"/>
        </w:rPr>
        <w:t xml:space="preserve">and expertise to </w:t>
      </w:r>
      <w:r w:rsidR="001E39F0">
        <w:rPr>
          <w:sz w:val="24"/>
        </w:rPr>
        <w:t xml:space="preserve">differentiate legitimate and expropriating RPTs, leading to uninformed voting decisions. This concern is particularly relevant since corporate insiders may manage the disclosure of RPT information to mislead shareholders. </w:t>
      </w:r>
    </w:p>
    <w:p w14:paraId="785CB321" w14:textId="77777777" w:rsidR="008B409D" w:rsidRDefault="008B409D" w:rsidP="00E60E8A">
      <w:pPr>
        <w:spacing w:line="480" w:lineRule="auto"/>
        <w:jc w:val="both"/>
        <w:rPr>
          <w:sz w:val="24"/>
        </w:rPr>
      </w:pPr>
    </w:p>
    <w:p w14:paraId="61256878" w14:textId="72E230FE" w:rsidR="004E6B5D" w:rsidRPr="008B409D" w:rsidRDefault="004362A6" w:rsidP="00E60E8A">
      <w:pPr>
        <w:spacing w:line="480" w:lineRule="auto"/>
        <w:jc w:val="both"/>
        <w:rPr>
          <w:b/>
          <w:sz w:val="24"/>
        </w:rPr>
      </w:pPr>
      <w:r>
        <w:rPr>
          <w:b/>
          <w:sz w:val="24"/>
        </w:rPr>
        <w:t xml:space="preserve">3. Sample and </w:t>
      </w:r>
      <w:r w:rsidR="008B409D" w:rsidRPr="008B409D">
        <w:rPr>
          <w:b/>
          <w:sz w:val="24"/>
        </w:rPr>
        <w:t>Data</w:t>
      </w:r>
      <w:r w:rsidR="004E6B5D" w:rsidRPr="008B409D">
        <w:rPr>
          <w:b/>
          <w:sz w:val="24"/>
        </w:rPr>
        <w:tab/>
      </w:r>
    </w:p>
    <w:p w14:paraId="61B27097" w14:textId="30FA9DEB" w:rsidR="00211443" w:rsidRPr="00211443" w:rsidRDefault="00211443" w:rsidP="00211443">
      <w:pPr>
        <w:spacing w:line="480" w:lineRule="auto"/>
        <w:jc w:val="both"/>
        <w:rPr>
          <w:sz w:val="24"/>
        </w:rPr>
      </w:pPr>
      <w:r>
        <w:rPr>
          <w:sz w:val="24"/>
        </w:rPr>
        <w:tab/>
      </w:r>
      <w:r>
        <w:rPr>
          <w:rFonts w:hint="eastAsia"/>
          <w:sz w:val="24"/>
        </w:rPr>
        <w:t>Our</w:t>
      </w:r>
      <w:r>
        <w:rPr>
          <w:sz w:val="24"/>
        </w:rPr>
        <w:t xml:space="preserve"> tests require information on RPT resolutions. </w:t>
      </w:r>
      <w:r w:rsidRPr="00211443">
        <w:rPr>
          <w:sz w:val="24"/>
        </w:rPr>
        <w:t>We hand-collect resolution related information from IIAS Adrian. IIAS is an advisory firm which</w:t>
      </w:r>
      <w:r>
        <w:rPr>
          <w:sz w:val="24"/>
        </w:rPr>
        <w:t xml:space="preserve"> examines corporate resolutions </w:t>
      </w:r>
      <w:r>
        <w:rPr>
          <w:sz w:val="24"/>
        </w:rPr>
        <w:lastRenderedPageBreak/>
        <w:t>and</w:t>
      </w:r>
      <w:r w:rsidRPr="00211443">
        <w:rPr>
          <w:sz w:val="24"/>
        </w:rPr>
        <w:t xml:space="preserve"> provides voting recommendations </w:t>
      </w:r>
      <w:r>
        <w:rPr>
          <w:sz w:val="24"/>
        </w:rPr>
        <w:t>to institutional investors</w:t>
      </w:r>
      <w:r w:rsidRPr="00211443">
        <w:rPr>
          <w:sz w:val="24"/>
        </w:rPr>
        <w:t xml:space="preserve">. Their product, Adrian, provides detailed information on all shareholder resolutions including postal ballot notice, voting recommendation, and voting outcome. We hand-collect postal ballot notices and voting outcome from Adrian. The voting outcome details include information on total number of shares held, number of votes polled, number of votes in favour, number of votes against, separately for institutional shareholders and non-institutional (retail) shareholders. We analyse the content of disclosures </w:t>
      </w:r>
      <w:r>
        <w:rPr>
          <w:sz w:val="24"/>
        </w:rPr>
        <w:t>on RPTs that are subject to shareholder voting</w:t>
      </w:r>
      <w:r w:rsidRPr="00211443">
        <w:rPr>
          <w:sz w:val="24"/>
        </w:rPr>
        <w:t xml:space="preserve">. When there are multiple resolutions to be passed in a single meeting, companies make separate disclosure for each resolution. </w:t>
      </w:r>
      <w:r>
        <w:rPr>
          <w:sz w:val="24"/>
        </w:rPr>
        <w:t>We thus treat each resolution as a separate observation</w:t>
      </w:r>
      <w:r w:rsidRPr="00211443">
        <w:rPr>
          <w:sz w:val="24"/>
        </w:rPr>
        <w:t xml:space="preserve">. </w:t>
      </w:r>
      <w:r w:rsidR="00FC5425">
        <w:rPr>
          <w:sz w:val="24"/>
        </w:rPr>
        <w:t>Using</w:t>
      </w:r>
      <w:r w:rsidRPr="00211443">
        <w:rPr>
          <w:sz w:val="24"/>
        </w:rPr>
        <w:t xml:space="preserve"> Python program</w:t>
      </w:r>
      <w:r w:rsidR="00FC5425">
        <w:rPr>
          <w:sz w:val="24"/>
        </w:rPr>
        <w:t>, we follow the literature (e.g. Li 2008)</w:t>
      </w:r>
      <w:r w:rsidRPr="00211443">
        <w:rPr>
          <w:sz w:val="24"/>
        </w:rPr>
        <w:t xml:space="preserve"> to calculate gunning-fog index,</w:t>
      </w:r>
      <w:r w:rsidR="00FC5425">
        <w:rPr>
          <w:sz w:val="24"/>
        </w:rPr>
        <w:t xml:space="preserve"> which measures the readability of the disclosure. We </w:t>
      </w:r>
      <w:r w:rsidR="00FC5425" w:rsidRPr="00211443">
        <w:rPr>
          <w:sz w:val="24"/>
        </w:rPr>
        <w:t xml:space="preserve">use the financial dictionary from Loughran and McDonald (2011) to identify optimistic and pessimistic words </w:t>
      </w:r>
      <w:r w:rsidR="00FC5425">
        <w:rPr>
          <w:sz w:val="24"/>
        </w:rPr>
        <w:t xml:space="preserve">in the disclosure. We define the tone of disclosure as the number of optimistic words minus the number of pessimistic words, scaled by the </w:t>
      </w:r>
      <w:r w:rsidRPr="00211443">
        <w:rPr>
          <w:sz w:val="24"/>
        </w:rPr>
        <w:t>total number of words</w:t>
      </w:r>
      <w:r w:rsidR="00FC5425">
        <w:rPr>
          <w:sz w:val="24"/>
        </w:rPr>
        <w:t xml:space="preserve"> in the disclosure.</w:t>
      </w:r>
      <w:r w:rsidR="00FC67CF">
        <w:rPr>
          <w:rStyle w:val="FootnoteReference"/>
          <w:sz w:val="24"/>
        </w:rPr>
        <w:footnoteReference w:id="6"/>
      </w:r>
    </w:p>
    <w:p w14:paraId="4E45D287" w14:textId="5FB75BD5" w:rsidR="00FC5425" w:rsidRDefault="00211443" w:rsidP="00211443">
      <w:pPr>
        <w:spacing w:line="480" w:lineRule="auto"/>
        <w:jc w:val="both"/>
        <w:rPr>
          <w:sz w:val="24"/>
        </w:rPr>
      </w:pPr>
      <w:r>
        <w:rPr>
          <w:sz w:val="24"/>
        </w:rPr>
        <w:tab/>
      </w:r>
      <w:r w:rsidRPr="00211443">
        <w:rPr>
          <w:sz w:val="24"/>
        </w:rPr>
        <w:t>Finally, we collect accounting and stock return data from Prowes</w:t>
      </w:r>
      <w:r w:rsidR="00D138B3">
        <w:rPr>
          <w:sz w:val="24"/>
        </w:rPr>
        <w:t>s</w:t>
      </w:r>
      <w:r w:rsidRPr="00211443">
        <w:rPr>
          <w:sz w:val="24"/>
        </w:rPr>
        <w:t>dx.  We merge IIAS data and Prowessdx data using company names. Our final sample has 663 unique resolutions from 491 unique meetings for 278 unique firms during 2014 to 2018. We lose some observations in regression analys</w:t>
      </w:r>
      <w:r w:rsidR="00FC5425">
        <w:rPr>
          <w:sz w:val="24"/>
        </w:rPr>
        <w:t>e</w:t>
      </w:r>
      <w:r w:rsidRPr="00211443">
        <w:rPr>
          <w:sz w:val="24"/>
        </w:rPr>
        <w:t xml:space="preserve">s due to missing </w:t>
      </w:r>
      <w:r w:rsidR="00FC5425">
        <w:rPr>
          <w:sz w:val="24"/>
        </w:rPr>
        <w:t xml:space="preserve">values for some </w:t>
      </w:r>
      <w:r w:rsidRPr="00211443">
        <w:rPr>
          <w:sz w:val="24"/>
        </w:rPr>
        <w:t>control variables.</w:t>
      </w:r>
    </w:p>
    <w:p w14:paraId="6927F9EF" w14:textId="5D2A2B2D" w:rsidR="008B409D" w:rsidRDefault="00FC5425" w:rsidP="00211443">
      <w:pPr>
        <w:spacing w:line="480" w:lineRule="auto"/>
        <w:jc w:val="both"/>
        <w:rPr>
          <w:sz w:val="24"/>
        </w:rPr>
      </w:pPr>
      <w:r>
        <w:rPr>
          <w:sz w:val="24"/>
        </w:rPr>
        <w:tab/>
        <w:t xml:space="preserve">Table 1 reports the descriptive statistics of the variables. The first two rows show that on average, 44.28% of eligible retail and institutional investors cast votes on RPT resolutions, and 94.84% of votes are in favour of the resolution. Comparing retail investors and institutional investors, we find that 69.43% of eligible institutions vote and 91.43% votes support the </w:t>
      </w:r>
      <w:r>
        <w:rPr>
          <w:sz w:val="24"/>
        </w:rPr>
        <w:lastRenderedPageBreak/>
        <w:t xml:space="preserve">resolution, while only 21.04% of eligible retail investors vote and 96.68% retail votes are in favour of the </w:t>
      </w:r>
      <w:r w:rsidR="003A0591">
        <w:rPr>
          <w:sz w:val="24"/>
        </w:rPr>
        <w:t xml:space="preserve">resolution. The results are consistent with those from the US where institutions are more active in voting than retail investors and majority of shareholders’ votes are in favour of resolutions (e.g., Cai et al. 2009; Fischer et al. 2009). </w:t>
      </w:r>
    </w:p>
    <w:p w14:paraId="35C7480C" w14:textId="3329A6B8" w:rsidR="003A0591" w:rsidRDefault="003A0591" w:rsidP="003A0591">
      <w:pPr>
        <w:spacing w:line="480" w:lineRule="auto"/>
        <w:jc w:val="center"/>
        <w:rPr>
          <w:sz w:val="24"/>
        </w:rPr>
      </w:pPr>
      <w:r>
        <w:rPr>
          <w:sz w:val="24"/>
        </w:rPr>
        <w:t>[Insert Table 1 about here]</w:t>
      </w:r>
    </w:p>
    <w:p w14:paraId="69999287" w14:textId="497143B7" w:rsidR="008B409D" w:rsidRDefault="003A0591" w:rsidP="00E60E8A">
      <w:pPr>
        <w:spacing w:line="480" w:lineRule="auto"/>
        <w:jc w:val="both"/>
        <w:rPr>
          <w:sz w:val="24"/>
        </w:rPr>
      </w:pPr>
      <w:r>
        <w:rPr>
          <w:sz w:val="24"/>
        </w:rPr>
        <w:tab/>
        <w:t xml:space="preserve">The fog index </w:t>
      </w:r>
      <w:r w:rsidR="00AB5C6C">
        <w:rPr>
          <w:sz w:val="24"/>
        </w:rPr>
        <w:t>has a mean of</w:t>
      </w:r>
      <w:r>
        <w:rPr>
          <w:sz w:val="24"/>
        </w:rPr>
        <w:t xml:space="preserve"> 26.59</w:t>
      </w:r>
      <w:r w:rsidR="00AB5C6C">
        <w:rPr>
          <w:sz w:val="24"/>
        </w:rPr>
        <w:t xml:space="preserve"> and a median of 21.49</w:t>
      </w:r>
      <w:r>
        <w:rPr>
          <w:sz w:val="24"/>
        </w:rPr>
        <w:t xml:space="preserve">, suggesting the RPT disclosure is less readable than a typical 10K filings in the US that has a gunning fox index value of </w:t>
      </w:r>
      <w:r w:rsidR="00AB5C6C">
        <w:rPr>
          <w:sz w:val="24"/>
        </w:rPr>
        <w:t xml:space="preserve">about 20, as reported by </w:t>
      </w:r>
      <w:r w:rsidR="00AB5C6C" w:rsidRPr="00AB5C6C">
        <w:rPr>
          <w:sz w:val="24"/>
        </w:rPr>
        <w:t>Ganguly</w:t>
      </w:r>
      <w:r w:rsidR="00AB5C6C">
        <w:rPr>
          <w:sz w:val="24"/>
        </w:rPr>
        <w:t xml:space="preserve"> et al. (2019). The average tone of RPT disclosures is negative, suggesting that there are more negative words than positive words in the disclosures. A median RPT disclosure has 349 words and 12 sentences. </w:t>
      </w:r>
    </w:p>
    <w:p w14:paraId="4B2958C0" w14:textId="0C629B1C" w:rsidR="0010256D" w:rsidRDefault="00AB5C6C" w:rsidP="00E60E8A">
      <w:pPr>
        <w:spacing w:line="480" w:lineRule="auto"/>
        <w:jc w:val="both"/>
        <w:rPr>
          <w:sz w:val="24"/>
        </w:rPr>
      </w:pPr>
      <w:r>
        <w:rPr>
          <w:sz w:val="24"/>
        </w:rPr>
        <w:tab/>
        <w:t xml:space="preserve">For 18% of RPT resolutions, ballot paper was posted to shareholders. 37% of RPT resolutions are special resolutions voted outside of annual general meetings. 99% of RPT resolutions are approved by shareholders, although only 81% of RPT resolutions receive a favourable recommendation from IIAS. The mean (median) value of proposed RPT is 185.88 </w:t>
      </w:r>
      <w:r w:rsidR="0010256D">
        <w:rPr>
          <w:sz w:val="24"/>
        </w:rPr>
        <w:t xml:space="preserve">(66) million Indian </w:t>
      </w:r>
      <w:r>
        <w:rPr>
          <w:sz w:val="24"/>
        </w:rPr>
        <w:t>rupee</w:t>
      </w:r>
      <w:r w:rsidR="0010256D">
        <w:rPr>
          <w:sz w:val="24"/>
        </w:rPr>
        <w:t xml:space="preserve">, accounting for 65% (7%) of total assets. </w:t>
      </w:r>
      <w:r w:rsidR="0010256D">
        <w:rPr>
          <w:sz w:val="24"/>
        </w:rPr>
        <w:tab/>
        <w:t xml:space="preserve">A median firm in the sample has a ROA of 5%, a market-ot-book ration of 3.38, 5 independent directors, and 12 directors in total in the board. </w:t>
      </w:r>
    </w:p>
    <w:p w14:paraId="0C5F4E72" w14:textId="609822B1" w:rsidR="0010256D" w:rsidRDefault="0010256D" w:rsidP="00E60E8A">
      <w:pPr>
        <w:spacing w:line="480" w:lineRule="auto"/>
        <w:jc w:val="both"/>
        <w:rPr>
          <w:sz w:val="24"/>
        </w:rPr>
      </w:pPr>
      <w:r>
        <w:rPr>
          <w:sz w:val="24"/>
        </w:rPr>
        <w:tab/>
        <w:t xml:space="preserve">In Table 2, we report the statistics of key variable for each year. There are 32 RPT resolutions from 25 firms in 2014, much less than other years in the sample. One possible reason is 2014 if the first year in which the Companies Act 2013 was implemented and there was confusion on the details of the new voting requirements, leading to firms taking a wait-and-see approach </w:t>
      </w:r>
      <w:r w:rsidR="003B7269">
        <w:rPr>
          <w:sz w:val="24"/>
        </w:rPr>
        <w:t xml:space="preserve">until 2015 when SEBI issued more detailed guidance on RPTs. The total participation by eligible shareholders in voting have been consistently above 40% and over 90% of votes are in favour of resolution each year. However, over time, the percentage of resolutions receiving </w:t>
      </w:r>
      <w:r w:rsidR="003B7269">
        <w:rPr>
          <w:rFonts w:hint="eastAsia"/>
          <w:sz w:val="24"/>
        </w:rPr>
        <w:t>favo</w:t>
      </w:r>
      <w:r w:rsidR="003B7269">
        <w:rPr>
          <w:sz w:val="24"/>
        </w:rPr>
        <w:t xml:space="preserve">rable IIAS recommendation is decreasing from 94% in 2014 to 74% in 2018. </w:t>
      </w:r>
      <w:r w:rsidR="003B7269">
        <w:rPr>
          <w:sz w:val="24"/>
        </w:rPr>
        <w:lastRenderedPageBreak/>
        <w:t xml:space="preserve">Similarly, the percentage of institutions voting in favour of resolutions decreases from 96.54% in 2014 to 87.45% in 2018. The evidence suggests that both IIAS and institutional investors have been increasingly scrutinizing material RPT resolutions. Furthermore, the fog index increases over time, suggesting that RPT disclosures become less readable. The tone of the disclosures remains relative stable in the sample period. </w:t>
      </w:r>
    </w:p>
    <w:p w14:paraId="782D16E0" w14:textId="2CDACE07" w:rsidR="003B7269" w:rsidRDefault="003B7269" w:rsidP="003B7269">
      <w:pPr>
        <w:spacing w:line="480" w:lineRule="auto"/>
        <w:jc w:val="center"/>
        <w:rPr>
          <w:sz w:val="24"/>
        </w:rPr>
      </w:pPr>
      <w:r>
        <w:rPr>
          <w:sz w:val="24"/>
        </w:rPr>
        <w:t>[Insert Table 2 about here]</w:t>
      </w:r>
    </w:p>
    <w:p w14:paraId="600D135C" w14:textId="68EFD532" w:rsidR="008B409D" w:rsidRDefault="008B409D" w:rsidP="00E60E8A">
      <w:pPr>
        <w:spacing w:line="480" w:lineRule="auto"/>
        <w:jc w:val="both"/>
        <w:rPr>
          <w:sz w:val="24"/>
        </w:rPr>
      </w:pPr>
    </w:p>
    <w:p w14:paraId="53D2C990" w14:textId="34419711" w:rsidR="008B409D" w:rsidRPr="008B409D" w:rsidRDefault="008B409D" w:rsidP="00E60E8A">
      <w:pPr>
        <w:spacing w:line="480" w:lineRule="auto"/>
        <w:jc w:val="both"/>
        <w:rPr>
          <w:b/>
          <w:sz w:val="24"/>
        </w:rPr>
      </w:pPr>
      <w:r w:rsidRPr="008B409D">
        <w:rPr>
          <w:b/>
          <w:sz w:val="24"/>
        </w:rPr>
        <w:t>4. Empirical Results</w:t>
      </w:r>
    </w:p>
    <w:p w14:paraId="7D353F75" w14:textId="44E69D4B" w:rsidR="004362A6" w:rsidRPr="004362A6" w:rsidRDefault="004362A6" w:rsidP="00E60E8A">
      <w:pPr>
        <w:spacing w:line="480" w:lineRule="auto"/>
        <w:jc w:val="both"/>
        <w:rPr>
          <w:i/>
          <w:sz w:val="24"/>
        </w:rPr>
      </w:pPr>
      <w:r w:rsidRPr="004362A6">
        <w:rPr>
          <w:i/>
          <w:sz w:val="24"/>
        </w:rPr>
        <w:t>4.1 Disclosure and shareholder voting</w:t>
      </w:r>
    </w:p>
    <w:p w14:paraId="2201A1E9" w14:textId="23C1E55A" w:rsidR="00DB0A89" w:rsidRDefault="004362A6" w:rsidP="00E60E8A">
      <w:pPr>
        <w:spacing w:line="480" w:lineRule="auto"/>
        <w:jc w:val="both"/>
        <w:rPr>
          <w:sz w:val="24"/>
        </w:rPr>
      </w:pPr>
      <w:r>
        <w:rPr>
          <w:sz w:val="24"/>
        </w:rPr>
        <w:tab/>
        <w:t>Our first analysis examines whether the textual characteristics of RPT disclosure are related to shareholders’ participation in the voting. It is well documented that minority shareholders, particularly retail investors, do not actively participate in corporate governance and voting</w:t>
      </w:r>
      <w:r w:rsidR="000023E0">
        <w:rPr>
          <w:sz w:val="24"/>
        </w:rPr>
        <w:t>. For example, a report issued by Broadridge Financial Solutions Inc. and PwC’s Center for Board Governance shows that less than 30% of retail shareholders vote while about 90% institutional investor</w:t>
      </w:r>
      <w:r w:rsidR="00B151C3">
        <w:rPr>
          <w:sz w:val="24"/>
        </w:rPr>
        <w:t>s</w:t>
      </w:r>
      <w:r w:rsidR="000023E0">
        <w:rPr>
          <w:sz w:val="24"/>
        </w:rPr>
        <w:t xml:space="preserve"> vote in proxy voting in the US.</w:t>
      </w:r>
      <w:r w:rsidR="000023E0" w:rsidRPr="000023E0">
        <w:rPr>
          <w:rStyle w:val="FootnoteReference"/>
          <w:sz w:val="24"/>
        </w:rPr>
        <w:t xml:space="preserve"> </w:t>
      </w:r>
      <w:r w:rsidR="000023E0">
        <w:rPr>
          <w:rStyle w:val="FootnoteReference"/>
          <w:sz w:val="24"/>
        </w:rPr>
        <w:footnoteReference w:id="7"/>
      </w:r>
      <w:r w:rsidR="000023E0">
        <w:rPr>
          <w:sz w:val="24"/>
        </w:rPr>
        <w:t xml:space="preserve"> Cai and He (2019) show that only </w:t>
      </w:r>
      <w:r w:rsidR="000E5367">
        <w:rPr>
          <w:sz w:val="24"/>
        </w:rPr>
        <w:t xml:space="preserve">4.1% of minority shareholders in China cast votes on important corporate resolutions. There are many </w:t>
      </w:r>
      <w:r>
        <w:rPr>
          <w:sz w:val="24"/>
        </w:rPr>
        <w:t xml:space="preserve">reasons </w:t>
      </w:r>
      <w:r w:rsidR="000E5367">
        <w:rPr>
          <w:sz w:val="24"/>
        </w:rPr>
        <w:t>for the lack of shareholder participation in voting, including the financial and time</w:t>
      </w:r>
      <w:r>
        <w:rPr>
          <w:sz w:val="24"/>
        </w:rPr>
        <w:t xml:space="preserve"> cost of voting, </w:t>
      </w:r>
      <w:r w:rsidR="00DB0A89">
        <w:rPr>
          <w:sz w:val="24"/>
        </w:rPr>
        <w:t>the slim chance</w:t>
      </w:r>
      <w:r w:rsidR="000E5367">
        <w:rPr>
          <w:sz w:val="24"/>
        </w:rPr>
        <w:t xml:space="preserve"> to veto a proposal, </w:t>
      </w:r>
      <w:r>
        <w:rPr>
          <w:sz w:val="24"/>
        </w:rPr>
        <w:t>options to free ride, and voting by feet</w:t>
      </w:r>
      <w:r w:rsidR="000E5367">
        <w:rPr>
          <w:sz w:val="24"/>
        </w:rPr>
        <w:t xml:space="preserve">, etc. </w:t>
      </w:r>
      <w:r w:rsidR="000E5367">
        <w:rPr>
          <w:sz w:val="24"/>
        </w:rPr>
        <w:tab/>
      </w:r>
    </w:p>
    <w:p w14:paraId="52030E3B" w14:textId="397264FB" w:rsidR="000B34D1" w:rsidRDefault="00DB0A89" w:rsidP="00E60E8A">
      <w:pPr>
        <w:spacing w:line="480" w:lineRule="auto"/>
        <w:jc w:val="both"/>
        <w:rPr>
          <w:sz w:val="24"/>
        </w:rPr>
      </w:pPr>
      <w:r>
        <w:rPr>
          <w:sz w:val="24"/>
        </w:rPr>
        <w:tab/>
      </w:r>
      <w:r w:rsidR="000E5367" w:rsidRPr="000E5367">
        <w:rPr>
          <w:i/>
          <w:sz w:val="24"/>
        </w:rPr>
        <w:t>Ex ante</w:t>
      </w:r>
      <w:r w:rsidR="000E5367">
        <w:rPr>
          <w:sz w:val="24"/>
        </w:rPr>
        <w:t xml:space="preserve">, it is unclear whether RPT disclosure affects shareholders’ participation in voting. </w:t>
      </w:r>
      <w:r>
        <w:rPr>
          <w:sz w:val="24"/>
        </w:rPr>
        <w:t xml:space="preserve">On one hand, opaque RPT disclosure could signal problematic RPTs, eliciting more shareholders participation to veto the resolution. On the other hand, the disclosure could have no effect on shareholders’ participation, as retail investors do not actively participate anyway. </w:t>
      </w:r>
      <w:r>
        <w:rPr>
          <w:sz w:val="24"/>
        </w:rPr>
        <w:lastRenderedPageBreak/>
        <w:t>We thus empirically examine this question by regressing the participation rate of shareholders on the textual measures of RPT disclosure, after controlling for a number of firm characteristics. Because the participate rates, defined as the number of shares owned by votin</w:t>
      </w:r>
      <w:r w:rsidR="000B34D1">
        <w:rPr>
          <w:sz w:val="24"/>
        </w:rPr>
        <w:t>g shareholders divided by the number of shares owned by shareholders who are eligible to vote, range from 0 to 1, we use the Tobit model to estimate the regressions and report the results in Table 3.</w:t>
      </w:r>
    </w:p>
    <w:p w14:paraId="7498CF4A" w14:textId="68EA187E" w:rsidR="000B34D1" w:rsidRDefault="000B34D1" w:rsidP="00E60E8A">
      <w:pPr>
        <w:spacing w:line="480" w:lineRule="auto"/>
        <w:jc w:val="both"/>
        <w:rPr>
          <w:sz w:val="24"/>
        </w:rPr>
      </w:pPr>
      <w:r>
        <w:rPr>
          <w:sz w:val="24"/>
        </w:rPr>
        <w:tab/>
        <w:t xml:space="preserve">The results in Columns (1) to (3) show that the fog index is not related to shareholders’ participation rates, suggesting that readability of RPT disclosure does not seem to affect shareholders’ participation in voting. Column (1) shows that the tone of RPT disclosure is positively related to the participation rate of all eligible shareholders, and the estimated coefficient is statistically significant at 10% level. This result suggests that a more positive tone of disclosure could elicit more shareholders’ participation. However, the association between the tone and shareholders’ participation becomes statistically insignificant in Columns (2) and (3) when we separately examine the participation rates of retail investors and institutional investors. </w:t>
      </w:r>
    </w:p>
    <w:p w14:paraId="77BA896A" w14:textId="2D6D1F18" w:rsidR="000B34D1" w:rsidRDefault="000B34D1" w:rsidP="000B34D1">
      <w:pPr>
        <w:spacing w:line="480" w:lineRule="auto"/>
        <w:jc w:val="center"/>
        <w:rPr>
          <w:sz w:val="24"/>
        </w:rPr>
      </w:pPr>
      <w:r>
        <w:rPr>
          <w:sz w:val="24"/>
        </w:rPr>
        <w:t>[Insert Table 3 about here]</w:t>
      </w:r>
    </w:p>
    <w:p w14:paraId="7F829FE1" w14:textId="7AD5B3D5" w:rsidR="000B34D1" w:rsidRDefault="000B34D1" w:rsidP="00E60E8A">
      <w:pPr>
        <w:spacing w:line="480" w:lineRule="auto"/>
        <w:jc w:val="both"/>
        <w:rPr>
          <w:sz w:val="24"/>
        </w:rPr>
      </w:pPr>
      <w:r>
        <w:rPr>
          <w:sz w:val="24"/>
        </w:rPr>
        <w:tab/>
        <w:t xml:space="preserve">For the control variables, we find that shareholders’ participation rates are negatively related to the ownership by promoters (controlling shareholders). Shareholders participate more actively in voting when firms are larger and more profitable, and when the ballot paper is posted to shareholders.  </w:t>
      </w:r>
      <w:r w:rsidR="001134C9">
        <w:rPr>
          <w:sz w:val="24"/>
        </w:rPr>
        <w:t xml:space="preserve">These results are consistent with findings in prior studies. The size of proposed RPTs does not seem to affect shareholders’ participation. The participation rate is lower for firms with more independent directors, suggesting that shareholders likely trust the independent board not to put expropriating RPTs to voting. Shareholders’ participation rates are also lower when IIAS recommends shareholders to support the RPT resolutions, implying that external verification by IIAS may reduce shareholders’ incentive to vote and voice again expropriating RPTs. </w:t>
      </w:r>
    </w:p>
    <w:p w14:paraId="7360FCD8" w14:textId="39B22AC5" w:rsidR="001134C9" w:rsidRDefault="001134C9" w:rsidP="00E60E8A">
      <w:pPr>
        <w:spacing w:line="480" w:lineRule="auto"/>
        <w:jc w:val="both"/>
        <w:rPr>
          <w:sz w:val="24"/>
        </w:rPr>
      </w:pPr>
      <w:r>
        <w:rPr>
          <w:sz w:val="24"/>
        </w:rPr>
        <w:lastRenderedPageBreak/>
        <w:tab/>
        <w:t xml:space="preserve">In Table 4, we examine whether RPT disclosures affect shareholders’ voting decisions. The dependent variables in Tobit regressions are the </w:t>
      </w:r>
      <w:r w:rsidR="00E1206E">
        <w:rPr>
          <w:sz w:val="24"/>
        </w:rPr>
        <w:t xml:space="preserve">percentage of investors in favour of the resolution, calculated as the number of shares owned by shareholders who vote in favour of the resolution divided by the number of shares owned by shareholders who cast votes. We also include a number of firm characteristics and year fixed effects in the regressions. </w:t>
      </w:r>
    </w:p>
    <w:p w14:paraId="031F8E9A" w14:textId="30E8031A" w:rsidR="00E1206E" w:rsidRDefault="00E1206E" w:rsidP="00E60E8A">
      <w:pPr>
        <w:spacing w:line="480" w:lineRule="auto"/>
        <w:jc w:val="both"/>
        <w:rPr>
          <w:sz w:val="24"/>
        </w:rPr>
      </w:pPr>
      <w:r>
        <w:rPr>
          <w:sz w:val="24"/>
        </w:rPr>
        <w:tab/>
        <w:t>The results show that the fog index does not relate to the voting decisions of shareholders, suggesting that the readability of RPT disclosures does not have an impact.</w:t>
      </w:r>
      <w:r w:rsidR="004C5107">
        <w:rPr>
          <w:rStyle w:val="FootnoteReference"/>
          <w:sz w:val="24"/>
        </w:rPr>
        <w:footnoteReference w:id="8"/>
      </w:r>
      <w:r>
        <w:rPr>
          <w:sz w:val="24"/>
        </w:rPr>
        <w:t xml:space="preserve"> However, the tone of the disclosure in positively related to shareholders’ support of the resolutions, as Column (1) shows. The result in Columns (2) and (3) show that the positive association between the tone of disclosure and shareholders’ support is driven by institutional investors. </w:t>
      </w:r>
      <w:r w:rsidR="00D85B48">
        <w:rPr>
          <w:sz w:val="24"/>
        </w:rPr>
        <w:t xml:space="preserve">The estimated coefficient in Column (3) suggests that one standard deviation increase in the tone of disclosure is related to </w:t>
      </w:r>
      <w:r w:rsidR="00001A6A">
        <w:rPr>
          <w:sz w:val="24"/>
        </w:rPr>
        <w:t xml:space="preserve">4.1 </w:t>
      </w:r>
      <w:r w:rsidR="00D85B48">
        <w:rPr>
          <w:sz w:val="24"/>
        </w:rPr>
        <w:t xml:space="preserve">percentage points increase in institutional investors’ support for the resolution. </w:t>
      </w:r>
    </w:p>
    <w:p w14:paraId="5205AD62" w14:textId="25A8BD33" w:rsidR="00D85B48" w:rsidRDefault="00D85B48" w:rsidP="00D85B48">
      <w:pPr>
        <w:spacing w:line="480" w:lineRule="auto"/>
        <w:jc w:val="center"/>
        <w:rPr>
          <w:sz w:val="24"/>
        </w:rPr>
      </w:pPr>
      <w:r>
        <w:rPr>
          <w:sz w:val="24"/>
        </w:rPr>
        <w:t>[Insert Table 4 about here]</w:t>
      </w:r>
    </w:p>
    <w:p w14:paraId="55AE1435" w14:textId="6A2DB600" w:rsidR="00D85B48" w:rsidRDefault="00D85B48" w:rsidP="00E60E8A">
      <w:pPr>
        <w:spacing w:line="480" w:lineRule="auto"/>
        <w:jc w:val="both"/>
        <w:rPr>
          <w:sz w:val="24"/>
        </w:rPr>
      </w:pPr>
      <w:r>
        <w:rPr>
          <w:sz w:val="24"/>
        </w:rPr>
        <w:tab/>
        <w:t xml:space="preserve">Regarding control variables, we find institutional shareholder support is higher when IIAS recommends shareholders to approve the RPTs. While institutional shareholders’ support is lower for larger firms, retail investors show more support for larger firms. </w:t>
      </w:r>
      <w:r w:rsidR="00FE0288">
        <w:rPr>
          <w:sz w:val="24"/>
        </w:rPr>
        <w:t xml:space="preserve">The evidence suggests that institutional investors and retail investors may have different information or different ways to make voting decisions. </w:t>
      </w:r>
      <w:r>
        <w:rPr>
          <w:sz w:val="24"/>
        </w:rPr>
        <w:t xml:space="preserve">Interestingly, firms with more independent directors have a lower support from institutional investors on their RPT resolutions. </w:t>
      </w:r>
    </w:p>
    <w:p w14:paraId="76AC1236" w14:textId="5C43B28A" w:rsidR="00FE0288" w:rsidRDefault="00FE0288" w:rsidP="00E60E8A">
      <w:pPr>
        <w:spacing w:line="480" w:lineRule="auto"/>
        <w:jc w:val="both"/>
        <w:rPr>
          <w:sz w:val="24"/>
        </w:rPr>
      </w:pPr>
      <w:r>
        <w:rPr>
          <w:sz w:val="24"/>
        </w:rPr>
        <w:tab/>
        <w:t xml:space="preserve">In Table 5, we examine whether the textual characteristics of RPT disclosure are related to the probability of the resolution being passed in shareholder voting. One difficulty in this test that only about 1% of resolutions are vetoed by shareholders, leaving little variation in the </w:t>
      </w:r>
      <w:r>
        <w:rPr>
          <w:sz w:val="24"/>
        </w:rPr>
        <w:lastRenderedPageBreak/>
        <w:t>voting outcomes. Possibly for this reason, the results in Table 5 show that both the fog index nor the tone of disclosure is positively related to the resolution being passed. However, both coefficients are not statistically significant.</w:t>
      </w:r>
      <w:r w:rsidR="007C418B">
        <w:rPr>
          <w:sz w:val="24"/>
        </w:rPr>
        <w:t xml:space="preserve"> </w:t>
      </w:r>
    </w:p>
    <w:p w14:paraId="2DFA4117" w14:textId="344C45A6" w:rsidR="007C418B" w:rsidRDefault="00FE0288" w:rsidP="00FE0288">
      <w:pPr>
        <w:spacing w:line="480" w:lineRule="auto"/>
        <w:jc w:val="center"/>
        <w:rPr>
          <w:sz w:val="24"/>
        </w:rPr>
      </w:pPr>
      <w:r>
        <w:rPr>
          <w:sz w:val="24"/>
        </w:rPr>
        <w:t>[Insert Table 5 about here]</w:t>
      </w:r>
    </w:p>
    <w:p w14:paraId="6D18C958" w14:textId="4AD9272D" w:rsidR="007C418B" w:rsidRDefault="007C418B" w:rsidP="007C418B">
      <w:pPr>
        <w:spacing w:line="480" w:lineRule="auto"/>
        <w:rPr>
          <w:sz w:val="24"/>
        </w:rPr>
      </w:pPr>
      <w:r>
        <w:rPr>
          <w:sz w:val="24"/>
        </w:rPr>
        <w:tab/>
        <w:t xml:space="preserve">For control variables, we find that shareholders are more likely to approve resolutions with a larger RPT and a positive recommendation from IIAS. The probability of the RPT resolution to be passed is higher for firms with promoters holding a larger ownership but lower for firms with a more independent board. </w:t>
      </w:r>
    </w:p>
    <w:p w14:paraId="51CF718E" w14:textId="10D956E7" w:rsidR="00FE0288" w:rsidRPr="007C418B" w:rsidRDefault="007C418B" w:rsidP="00E60E8A">
      <w:pPr>
        <w:spacing w:line="480" w:lineRule="auto"/>
        <w:jc w:val="both"/>
        <w:rPr>
          <w:i/>
          <w:sz w:val="24"/>
        </w:rPr>
      </w:pPr>
      <w:r w:rsidRPr="007C418B">
        <w:rPr>
          <w:rFonts w:hint="eastAsia"/>
          <w:i/>
          <w:sz w:val="24"/>
        </w:rPr>
        <w:t>4.2</w:t>
      </w:r>
      <w:r w:rsidRPr="007C418B">
        <w:rPr>
          <w:i/>
          <w:sz w:val="24"/>
        </w:rPr>
        <w:t xml:space="preserve"> </w:t>
      </w:r>
      <w:r w:rsidRPr="007C418B">
        <w:rPr>
          <w:rFonts w:hint="eastAsia"/>
          <w:i/>
          <w:sz w:val="24"/>
        </w:rPr>
        <w:t>Dis</w:t>
      </w:r>
      <w:r w:rsidRPr="007C418B">
        <w:rPr>
          <w:i/>
          <w:sz w:val="24"/>
        </w:rPr>
        <w:t>closure, future profitability and market reactions</w:t>
      </w:r>
    </w:p>
    <w:p w14:paraId="17196B86" w14:textId="38E677E5" w:rsidR="008B409D" w:rsidRDefault="007C418B" w:rsidP="00E60E8A">
      <w:pPr>
        <w:spacing w:line="480" w:lineRule="auto"/>
        <w:jc w:val="both"/>
        <w:rPr>
          <w:sz w:val="24"/>
        </w:rPr>
      </w:pPr>
      <w:r>
        <w:rPr>
          <w:sz w:val="24"/>
        </w:rPr>
        <w:tab/>
        <w:t xml:space="preserve">We have found evidence that the tone of RPT disclosure is positively related to shareholders’ support for the RPT resolution. This result could suggest that a more positive tone signals that managers are more optimistic about the future benefits brought by the proposed RPTs. However, it could also be driven by managers’ tone management to use positive tone to influence shareholders’ voting decisions. To provide further evidence to differentiate these two conflicting explanations, we conduct two additional tests. In the first test, we examine the association between </w:t>
      </w:r>
      <w:r w:rsidR="00D13015">
        <w:rPr>
          <w:sz w:val="24"/>
        </w:rPr>
        <w:t>the tone of RPT disclosures</w:t>
      </w:r>
      <w:r>
        <w:rPr>
          <w:sz w:val="24"/>
        </w:rPr>
        <w:t xml:space="preserve"> and </w:t>
      </w:r>
      <w:r w:rsidR="00D13015">
        <w:rPr>
          <w:sz w:val="24"/>
        </w:rPr>
        <w:t>future profitability of the firm. The rationale is that, if a positive tone reflects managers’ positive private information, then we would expect the positive tone predicts higher future profitability. Alternatively, since the tone is about the proposed RPTs, a positive tone could suggests that managers expect the proposed RPTs will significantly improve firms’ performance in the future, leading to a stronger association between RPTs and future profitability for RPT disclosures with a more positive tone. In contrast, if the positive tone is due to tone management, we would expect the tone is not related to future profitability, either directly or indirectly through the association between RPTs and future profitability.</w:t>
      </w:r>
    </w:p>
    <w:p w14:paraId="7C925DA3" w14:textId="65D98AD0" w:rsidR="00D13015" w:rsidRDefault="00D13015" w:rsidP="00E60E8A">
      <w:pPr>
        <w:spacing w:line="480" w:lineRule="auto"/>
        <w:jc w:val="both"/>
        <w:rPr>
          <w:sz w:val="24"/>
        </w:rPr>
      </w:pPr>
      <w:r>
        <w:rPr>
          <w:sz w:val="24"/>
        </w:rPr>
        <w:lastRenderedPageBreak/>
        <w:tab/>
        <w:t>To test these predictions, we regress return-on-assets in year t+1 (</w:t>
      </w:r>
      <w:r w:rsidRPr="00D13015">
        <w:rPr>
          <w:i/>
          <w:sz w:val="24"/>
        </w:rPr>
        <w:t>ROA</w:t>
      </w:r>
      <w:r w:rsidRPr="00D13015">
        <w:rPr>
          <w:i/>
          <w:sz w:val="24"/>
          <w:vertAlign w:val="subscript"/>
        </w:rPr>
        <w:t>t+1</w:t>
      </w:r>
      <w:r>
        <w:rPr>
          <w:sz w:val="24"/>
        </w:rPr>
        <w:t>) on the two measures of textual characteristics of RPT disclosures. We also include the interaction term between the amount of RPTs and the textual measures in the regression to examine the indirect effect of disclosure. Control variables include ROA in year t, the amount of RPT, total assets and the market-to-book ratio. We include year and industry fixed effects in the regressions.</w:t>
      </w:r>
    </w:p>
    <w:p w14:paraId="65AF4479" w14:textId="3BBF955A" w:rsidR="00D13015" w:rsidRDefault="00D13015" w:rsidP="00E60E8A">
      <w:pPr>
        <w:spacing w:line="480" w:lineRule="auto"/>
        <w:jc w:val="both"/>
        <w:rPr>
          <w:sz w:val="24"/>
        </w:rPr>
      </w:pPr>
      <w:r>
        <w:rPr>
          <w:sz w:val="24"/>
        </w:rPr>
        <w:tab/>
        <w:t xml:space="preserve">Table 6 reports the results from the OLS regressions. Columns (1) and (2) show that </w:t>
      </w:r>
      <w:r w:rsidR="00227E42">
        <w:rPr>
          <w:sz w:val="24"/>
        </w:rPr>
        <w:t>neither the</w:t>
      </w:r>
      <w:r>
        <w:rPr>
          <w:sz w:val="24"/>
        </w:rPr>
        <w:t xml:space="preserve"> fog index </w:t>
      </w:r>
      <w:r w:rsidR="00227E42">
        <w:rPr>
          <w:sz w:val="24"/>
        </w:rPr>
        <w:t>nor</w:t>
      </w:r>
      <w:r>
        <w:rPr>
          <w:sz w:val="24"/>
        </w:rPr>
        <w:t xml:space="preserve"> the interaction term between the fog index and RPT </w:t>
      </w:r>
      <w:r w:rsidR="00227E42">
        <w:rPr>
          <w:sz w:val="24"/>
        </w:rPr>
        <w:t xml:space="preserve">have statistically significant coeffects, suggesting the readability of RPT disclosures is not related to future profitability. Columns (3) and (4) examine the tone of the RPT disclosures and show that both the tone and the interaction term between the tone and RPT have negative, rather than positive, coefficients, although the coefficients are not statistically significant. In Column (6), we put both the fog index and the tone and their interaction terms in one regression, and results remain unchanged. Taken together, the results in Table 6 do not support the view that a more positive tone of RPT disclosure reflects managers’ positive information about the proposed RPTs. Instead, the results show that the tone is not related to future profitability, which is consistent with the view that a positive tone of RPT disclosures could result from managers managing the tone to influence shareholders’ voting decisions. </w:t>
      </w:r>
    </w:p>
    <w:p w14:paraId="3FD1712A" w14:textId="572F1A9B" w:rsidR="00227E42" w:rsidRDefault="00227E42" w:rsidP="00227E42">
      <w:pPr>
        <w:spacing w:line="480" w:lineRule="auto"/>
        <w:jc w:val="center"/>
        <w:rPr>
          <w:sz w:val="24"/>
        </w:rPr>
      </w:pPr>
      <w:r>
        <w:rPr>
          <w:sz w:val="24"/>
        </w:rPr>
        <w:t>[Insert Table 6 about here]</w:t>
      </w:r>
    </w:p>
    <w:p w14:paraId="202B3B94" w14:textId="3D9F6A7B" w:rsidR="00227E42" w:rsidRDefault="00227E42" w:rsidP="00E60E8A">
      <w:pPr>
        <w:spacing w:line="480" w:lineRule="auto"/>
        <w:jc w:val="both"/>
        <w:rPr>
          <w:sz w:val="24"/>
        </w:rPr>
      </w:pPr>
      <w:r>
        <w:rPr>
          <w:sz w:val="24"/>
        </w:rPr>
        <w:tab/>
        <w:t>The second test examines market reactions to the passage of RPT resolutions in the short windows around the voting date</w:t>
      </w:r>
      <w:r w:rsidR="00502D42">
        <w:rPr>
          <w:sz w:val="24"/>
        </w:rPr>
        <w:t>. Firms are required to publicly disclose the vot</w:t>
      </w:r>
      <w:r w:rsidR="00333740">
        <w:rPr>
          <w:sz w:val="24"/>
        </w:rPr>
        <w:t>ing</w:t>
      </w:r>
      <w:r w:rsidR="00502D42">
        <w:rPr>
          <w:sz w:val="24"/>
        </w:rPr>
        <w:t xml:space="preserve"> outcomes within 48 hours after voting is completed. Accordingly, we choose </w:t>
      </w:r>
      <w:r w:rsidR="00D32E7B">
        <w:rPr>
          <w:sz w:val="24"/>
        </w:rPr>
        <w:t>a</w:t>
      </w:r>
      <w:r w:rsidR="002F2026">
        <w:rPr>
          <w:sz w:val="24"/>
        </w:rPr>
        <w:t>n</w:t>
      </w:r>
      <w:r w:rsidR="00324357">
        <w:rPr>
          <w:sz w:val="24"/>
        </w:rPr>
        <w:t xml:space="preserve"> event window</w:t>
      </w:r>
      <w:r w:rsidR="00D32E7B">
        <w:rPr>
          <w:sz w:val="24"/>
        </w:rPr>
        <w:t xml:space="preserve"> of</w:t>
      </w:r>
      <w:r w:rsidR="00502D42">
        <w:rPr>
          <w:sz w:val="24"/>
        </w:rPr>
        <w:t xml:space="preserve"> [-3, 3] that set the voting date as day </w:t>
      </w:r>
      <w:r w:rsidR="00050169">
        <w:rPr>
          <w:sz w:val="24"/>
        </w:rPr>
        <w:t>-2</w:t>
      </w:r>
      <w:r w:rsidR="00502D42">
        <w:rPr>
          <w:sz w:val="24"/>
        </w:rPr>
        <w:t xml:space="preserve">. We calculate cumulative market-adjusted stock returns in these two event windows, using the returns of Sensex index in Bombay Stock Exchange as a proxy for market returns. Many RPT resolutions are voted on the same day together with other resolutions, which makes it impossible to attribute the stock returns to the </w:t>
      </w:r>
      <w:r w:rsidR="00502D42">
        <w:rPr>
          <w:sz w:val="24"/>
        </w:rPr>
        <w:lastRenderedPageBreak/>
        <w:t xml:space="preserve">voting outcome of a specific resolution. To provide clean evidence, we exclude RPT resolutions that are voted together with other resolutions on the same day and make sure nothing but one RPT resolution is voted on the day 0. Because vetoed resolutions are rare and could be fundamentally different from passed RPTs, we focus on passed RPT resolutions in this test. </w:t>
      </w:r>
    </w:p>
    <w:p w14:paraId="57C44948" w14:textId="51DC0FCB" w:rsidR="006A5BF2" w:rsidRDefault="006A5BF2" w:rsidP="00E60E8A">
      <w:pPr>
        <w:spacing w:line="480" w:lineRule="auto"/>
        <w:jc w:val="both"/>
        <w:rPr>
          <w:sz w:val="24"/>
        </w:rPr>
      </w:pPr>
      <w:r>
        <w:rPr>
          <w:sz w:val="24"/>
        </w:rPr>
        <w:tab/>
        <w:t xml:space="preserve">Table 7 reports the results from OLS regressions. </w:t>
      </w:r>
      <w:r w:rsidR="001E7298">
        <w:rPr>
          <w:sz w:val="24"/>
        </w:rPr>
        <w:t xml:space="preserve">We use the decile ranking of </w:t>
      </w:r>
      <w:r w:rsidR="001E7298" w:rsidRPr="001E7298">
        <w:rPr>
          <w:i/>
          <w:sz w:val="24"/>
        </w:rPr>
        <w:t>TONE</w:t>
      </w:r>
      <w:r w:rsidR="00AE55CB">
        <w:rPr>
          <w:i/>
          <w:sz w:val="24"/>
        </w:rPr>
        <w:t xml:space="preserve"> </w:t>
      </w:r>
      <w:r w:rsidR="00D7696C">
        <w:rPr>
          <w:sz w:val="24"/>
        </w:rPr>
        <w:t>(Huang et</w:t>
      </w:r>
      <w:r w:rsidR="00AE55CB">
        <w:rPr>
          <w:sz w:val="24"/>
        </w:rPr>
        <w:t xml:space="preserve"> a</w:t>
      </w:r>
      <w:r w:rsidR="00D7696C">
        <w:rPr>
          <w:sz w:val="24"/>
        </w:rPr>
        <w:t>l</w:t>
      </w:r>
      <w:r w:rsidR="00AE55CB">
        <w:rPr>
          <w:sz w:val="24"/>
        </w:rPr>
        <w:t>. 2014)</w:t>
      </w:r>
      <w:r w:rsidR="001E7298">
        <w:rPr>
          <w:sz w:val="24"/>
        </w:rPr>
        <w:t xml:space="preserve">, </w:t>
      </w:r>
      <w:r w:rsidR="001E7298" w:rsidRPr="0040447C">
        <w:rPr>
          <w:i/>
          <w:sz w:val="24"/>
        </w:rPr>
        <w:t>R_TONE</w:t>
      </w:r>
      <w:r w:rsidR="001E7298">
        <w:rPr>
          <w:sz w:val="24"/>
        </w:rPr>
        <w:t xml:space="preserve">, </w:t>
      </w:r>
      <w:r w:rsidR="00AE55CB">
        <w:rPr>
          <w:sz w:val="24"/>
        </w:rPr>
        <w:t xml:space="preserve">and </w:t>
      </w:r>
      <w:r w:rsidR="00AE55CB" w:rsidRPr="00AE55CB">
        <w:rPr>
          <w:i/>
          <w:sz w:val="24"/>
        </w:rPr>
        <w:t>FOG</w:t>
      </w:r>
      <w:r w:rsidR="00AE55CB">
        <w:rPr>
          <w:sz w:val="24"/>
        </w:rPr>
        <w:t xml:space="preserve"> </w:t>
      </w:r>
      <w:r w:rsidR="001E7298">
        <w:rPr>
          <w:sz w:val="24"/>
        </w:rPr>
        <w:t xml:space="preserve">as </w:t>
      </w:r>
      <w:r w:rsidR="00AE55CB">
        <w:rPr>
          <w:sz w:val="24"/>
        </w:rPr>
        <w:t>the main</w:t>
      </w:r>
      <w:r w:rsidR="001E7298">
        <w:rPr>
          <w:sz w:val="24"/>
        </w:rPr>
        <w:t xml:space="preserve"> independent variable</w:t>
      </w:r>
      <w:r w:rsidR="00AE55CB">
        <w:rPr>
          <w:sz w:val="24"/>
        </w:rPr>
        <w:t>s</w:t>
      </w:r>
      <w:r w:rsidR="001E7298">
        <w:rPr>
          <w:sz w:val="24"/>
        </w:rPr>
        <w:t xml:space="preserve">. </w:t>
      </w:r>
      <w:r>
        <w:rPr>
          <w:sz w:val="24"/>
        </w:rPr>
        <w:t>We find some weak evidence that the fog index is negative</w:t>
      </w:r>
      <w:r w:rsidR="00A76852">
        <w:rPr>
          <w:sz w:val="24"/>
        </w:rPr>
        <w:t>ly</w:t>
      </w:r>
      <w:r>
        <w:rPr>
          <w:sz w:val="24"/>
        </w:rPr>
        <w:t xml:space="preserve"> related to market reactions, suggesting that investors on average react more negatively to less readable RPT disclosures. The tone of RPT disclosures has negative and statistically significant coefficients, suggesting that investors react more negatively to RPT disclosures with a more positive tone. To the extent that stock prices are efficient, the evidence does not support that a positive tone of RPT disclosure contains positive information. Instead, a positive tone is perceived to be negative by investors. </w:t>
      </w:r>
      <w:r w:rsidR="0091155B">
        <w:rPr>
          <w:sz w:val="24"/>
        </w:rPr>
        <w:t>We interpret the evidence as suggesting that the positive tone of RPT disclosure likely results from managers’ tone management but investors are able to unravel and react negatively to the tone management.</w:t>
      </w:r>
    </w:p>
    <w:p w14:paraId="412C3347" w14:textId="5A39A96F" w:rsidR="0091155B" w:rsidRDefault="0091155B" w:rsidP="0091155B">
      <w:pPr>
        <w:spacing w:line="480" w:lineRule="auto"/>
        <w:jc w:val="center"/>
        <w:rPr>
          <w:sz w:val="24"/>
        </w:rPr>
      </w:pPr>
      <w:r>
        <w:rPr>
          <w:sz w:val="24"/>
        </w:rPr>
        <w:t>[Insert Table 7 about here]</w:t>
      </w:r>
    </w:p>
    <w:p w14:paraId="6C07B6B6" w14:textId="77777777" w:rsidR="00502D42" w:rsidRDefault="00502D42" w:rsidP="00E60E8A">
      <w:pPr>
        <w:spacing w:line="480" w:lineRule="auto"/>
        <w:jc w:val="both"/>
        <w:rPr>
          <w:sz w:val="24"/>
        </w:rPr>
      </w:pPr>
    </w:p>
    <w:p w14:paraId="23B23B9E" w14:textId="026036E6" w:rsidR="008B409D" w:rsidRPr="008B409D" w:rsidRDefault="008B409D" w:rsidP="00E60E8A">
      <w:pPr>
        <w:spacing w:line="480" w:lineRule="auto"/>
        <w:jc w:val="both"/>
        <w:rPr>
          <w:b/>
          <w:sz w:val="24"/>
        </w:rPr>
      </w:pPr>
      <w:r w:rsidRPr="008B409D">
        <w:rPr>
          <w:b/>
          <w:sz w:val="24"/>
        </w:rPr>
        <w:t>5. Conclusions</w:t>
      </w:r>
    </w:p>
    <w:p w14:paraId="4026D76B" w14:textId="056821AB" w:rsidR="008B409D" w:rsidRDefault="006355C3" w:rsidP="00E60E8A">
      <w:pPr>
        <w:spacing w:line="480" w:lineRule="auto"/>
        <w:jc w:val="both"/>
        <w:rPr>
          <w:sz w:val="24"/>
        </w:rPr>
      </w:pPr>
      <w:r>
        <w:rPr>
          <w:sz w:val="24"/>
        </w:rPr>
        <w:tab/>
        <w:t xml:space="preserve">Shareholder voting is </w:t>
      </w:r>
      <w:r w:rsidR="00B776A4">
        <w:rPr>
          <w:sz w:val="24"/>
        </w:rPr>
        <w:t xml:space="preserve">an </w:t>
      </w:r>
      <w:r>
        <w:rPr>
          <w:sz w:val="24"/>
        </w:rPr>
        <w:t xml:space="preserve">important </w:t>
      </w:r>
      <w:r w:rsidR="00B776A4">
        <w:rPr>
          <w:sz w:val="24"/>
        </w:rPr>
        <w:t xml:space="preserve">mechanism for </w:t>
      </w:r>
      <w:r>
        <w:rPr>
          <w:sz w:val="24"/>
        </w:rPr>
        <w:t>shareholder</w:t>
      </w:r>
      <w:r w:rsidR="00B776A4">
        <w:rPr>
          <w:sz w:val="24"/>
        </w:rPr>
        <w:t xml:space="preserve"> engagement</w:t>
      </w:r>
      <w:r>
        <w:rPr>
          <w:sz w:val="24"/>
        </w:rPr>
        <w:t xml:space="preserve"> in corporate governance and regulators around the world have required shareholder voting on some important corporate decisions (Iliev et al. 2015). However, it is unclear how shareholders make the informed voting decisions. In this study, we examine whether information disclosure affects investors’ voting decisions. Using data from India and focusing on RPT resolutions, we find that readability of the disclosure doe</w:t>
      </w:r>
      <w:r w:rsidR="00B776A4">
        <w:rPr>
          <w:sz w:val="24"/>
        </w:rPr>
        <w:t>s</w:t>
      </w:r>
      <w:r>
        <w:rPr>
          <w:sz w:val="24"/>
        </w:rPr>
        <w:t xml:space="preserve"> not seem to affect shareholders’ voting decisions, but the </w:t>
      </w:r>
      <w:r>
        <w:rPr>
          <w:sz w:val="24"/>
        </w:rPr>
        <w:lastRenderedPageBreak/>
        <w:t xml:space="preserve">tone of the disclosure is positively related to shareholders’ participation in voting and institutional investors’ support for the resolutions. Further analysis shows that tone of disclosures </w:t>
      </w:r>
      <w:r w:rsidR="00B776A4">
        <w:rPr>
          <w:sz w:val="24"/>
        </w:rPr>
        <w:t xml:space="preserve">is </w:t>
      </w:r>
      <w:r>
        <w:rPr>
          <w:sz w:val="24"/>
        </w:rPr>
        <w:t>not related to future profitability and the market reacts negatively to approved resolutions with a positive tone. The evidence suggest</w:t>
      </w:r>
      <w:r w:rsidR="00B776A4">
        <w:rPr>
          <w:sz w:val="24"/>
        </w:rPr>
        <w:t>s</w:t>
      </w:r>
      <w:r>
        <w:rPr>
          <w:sz w:val="24"/>
        </w:rPr>
        <w:t xml:space="preserve"> that the positive tone of RPT disclosure could result from managers’ tone management but investors can unravel </w:t>
      </w:r>
      <w:r w:rsidR="00B776A4">
        <w:rPr>
          <w:sz w:val="24"/>
        </w:rPr>
        <w:t xml:space="preserve">such disclosure management </w:t>
      </w:r>
      <w:r>
        <w:rPr>
          <w:sz w:val="24"/>
        </w:rPr>
        <w:t xml:space="preserve">and </w:t>
      </w:r>
      <w:r w:rsidR="00B776A4">
        <w:rPr>
          <w:sz w:val="24"/>
        </w:rPr>
        <w:t xml:space="preserve">subsequently </w:t>
      </w:r>
      <w:r>
        <w:rPr>
          <w:sz w:val="24"/>
        </w:rPr>
        <w:t xml:space="preserve">react negatively to the tone management. </w:t>
      </w:r>
    </w:p>
    <w:p w14:paraId="231EB4F6" w14:textId="37F99AB0" w:rsidR="006355C3" w:rsidRDefault="006355C3" w:rsidP="00E60E8A">
      <w:pPr>
        <w:spacing w:line="480" w:lineRule="auto"/>
        <w:jc w:val="both"/>
        <w:rPr>
          <w:sz w:val="24"/>
        </w:rPr>
      </w:pPr>
      <w:r>
        <w:rPr>
          <w:sz w:val="24"/>
        </w:rPr>
        <w:tab/>
        <w:t xml:space="preserve">Our study contributes to the literature by documenting that the tone of disclosure affects shareholders’ voting decisions. Our results that managers can manipulate the tone of disclosures to influence shareholder voting have important implications to regulators and shareholders around the world. </w:t>
      </w:r>
      <w:r w:rsidR="0065759C">
        <w:rPr>
          <w:sz w:val="24"/>
        </w:rPr>
        <w:t xml:space="preserve">Regulators need to monitor the information disclosure of RPTs to prevent firms opportunistically use the disclosure to mislead shareholders. </w:t>
      </w:r>
    </w:p>
    <w:p w14:paraId="7DB02734" w14:textId="69DD01DB" w:rsidR="0065759C" w:rsidRDefault="0065759C" w:rsidP="00E60E8A">
      <w:pPr>
        <w:spacing w:line="480" w:lineRule="auto"/>
        <w:jc w:val="both"/>
        <w:rPr>
          <w:sz w:val="24"/>
        </w:rPr>
      </w:pPr>
    </w:p>
    <w:p w14:paraId="5E9D1416" w14:textId="4B186E8D" w:rsidR="0065759C" w:rsidRDefault="0065759C">
      <w:pPr>
        <w:jc w:val="both"/>
        <w:rPr>
          <w:sz w:val="24"/>
        </w:rPr>
      </w:pPr>
      <w:r>
        <w:rPr>
          <w:sz w:val="24"/>
        </w:rPr>
        <w:br w:type="page"/>
      </w:r>
    </w:p>
    <w:p w14:paraId="0355F9E8" w14:textId="349C5FED" w:rsidR="0065759C" w:rsidRPr="0065759C" w:rsidRDefault="0065759C" w:rsidP="00E60E8A">
      <w:pPr>
        <w:spacing w:line="480" w:lineRule="auto"/>
        <w:jc w:val="both"/>
        <w:rPr>
          <w:b/>
          <w:sz w:val="24"/>
        </w:rPr>
      </w:pPr>
      <w:r w:rsidRPr="0065759C">
        <w:rPr>
          <w:b/>
          <w:sz w:val="24"/>
        </w:rPr>
        <w:lastRenderedPageBreak/>
        <w:t>References</w:t>
      </w:r>
    </w:p>
    <w:p w14:paraId="166F5975" w14:textId="16C798E2" w:rsidR="0065759C" w:rsidRDefault="0065759C" w:rsidP="0065759C">
      <w:pPr>
        <w:autoSpaceDE w:val="0"/>
        <w:autoSpaceDN w:val="0"/>
        <w:adjustRightInd w:val="0"/>
        <w:ind w:left="709" w:hanging="709"/>
        <w:jc w:val="both"/>
        <w:rPr>
          <w:rFonts w:cstheme="minorHAnsi"/>
          <w:color w:val="000000"/>
          <w:sz w:val="24"/>
          <w:szCs w:val="24"/>
        </w:rPr>
      </w:pPr>
      <w:r>
        <w:rPr>
          <w:rFonts w:cstheme="minorHAnsi"/>
          <w:color w:val="000000"/>
          <w:sz w:val="24"/>
          <w:szCs w:val="24"/>
        </w:rPr>
        <w:t xml:space="preserve">Becht, M., A. Polo, and S. Rossi. 2016. Does mandatory shareholder voting prevent bad acquisitions? </w:t>
      </w:r>
      <w:r w:rsidRPr="00273349">
        <w:rPr>
          <w:rFonts w:cstheme="minorHAnsi"/>
          <w:i/>
          <w:color w:val="000000"/>
          <w:sz w:val="24"/>
          <w:szCs w:val="24"/>
        </w:rPr>
        <w:t>Review of Financial Studies</w:t>
      </w:r>
      <w:r>
        <w:rPr>
          <w:rFonts w:cstheme="minorHAnsi"/>
          <w:color w:val="000000"/>
          <w:sz w:val="24"/>
          <w:szCs w:val="24"/>
        </w:rPr>
        <w:t xml:space="preserve"> 29: 3035–3067.</w:t>
      </w:r>
    </w:p>
    <w:p w14:paraId="0240E096" w14:textId="0B727EC1" w:rsidR="008038F9" w:rsidRDefault="008038F9" w:rsidP="0065759C">
      <w:pPr>
        <w:autoSpaceDE w:val="0"/>
        <w:autoSpaceDN w:val="0"/>
        <w:adjustRightInd w:val="0"/>
        <w:ind w:left="709" w:hanging="709"/>
        <w:jc w:val="both"/>
        <w:rPr>
          <w:rFonts w:cstheme="minorHAnsi"/>
          <w:color w:val="000000"/>
          <w:sz w:val="24"/>
          <w:szCs w:val="24"/>
        </w:rPr>
      </w:pPr>
      <w:r w:rsidRPr="008038F9">
        <w:rPr>
          <w:rFonts w:cstheme="minorHAnsi"/>
          <w:color w:val="000000"/>
          <w:sz w:val="24"/>
          <w:szCs w:val="24"/>
        </w:rPr>
        <w:t xml:space="preserve">Bloomfield, R. </w:t>
      </w:r>
      <w:r>
        <w:rPr>
          <w:rFonts w:cstheme="minorHAnsi"/>
          <w:color w:val="000000"/>
          <w:sz w:val="24"/>
          <w:szCs w:val="24"/>
        </w:rPr>
        <w:t xml:space="preserve">2008. </w:t>
      </w:r>
      <w:r w:rsidRPr="008038F9">
        <w:rPr>
          <w:rFonts w:cstheme="minorHAnsi"/>
          <w:color w:val="000000"/>
          <w:sz w:val="24"/>
          <w:szCs w:val="24"/>
        </w:rPr>
        <w:t xml:space="preserve">Discussion of </w:t>
      </w:r>
      <w:r>
        <w:rPr>
          <w:rFonts w:cstheme="minorHAnsi"/>
          <w:color w:val="000000"/>
          <w:sz w:val="24"/>
          <w:szCs w:val="24"/>
        </w:rPr>
        <w:t>a</w:t>
      </w:r>
      <w:r w:rsidRPr="008038F9">
        <w:rPr>
          <w:rFonts w:cstheme="minorHAnsi"/>
          <w:color w:val="000000"/>
          <w:sz w:val="24"/>
          <w:szCs w:val="24"/>
        </w:rPr>
        <w:t xml:space="preserve">nnual </w:t>
      </w:r>
      <w:r>
        <w:rPr>
          <w:rFonts w:cstheme="minorHAnsi"/>
          <w:color w:val="000000"/>
          <w:sz w:val="24"/>
          <w:szCs w:val="24"/>
        </w:rPr>
        <w:t>r</w:t>
      </w:r>
      <w:r w:rsidRPr="008038F9">
        <w:rPr>
          <w:rFonts w:cstheme="minorHAnsi"/>
          <w:color w:val="000000"/>
          <w:sz w:val="24"/>
          <w:szCs w:val="24"/>
        </w:rPr>
        <w:t xml:space="preserve">eport </w:t>
      </w:r>
      <w:r>
        <w:rPr>
          <w:rFonts w:cstheme="minorHAnsi"/>
          <w:color w:val="000000"/>
          <w:sz w:val="24"/>
          <w:szCs w:val="24"/>
        </w:rPr>
        <w:t>r</w:t>
      </w:r>
      <w:r w:rsidRPr="008038F9">
        <w:rPr>
          <w:rFonts w:cstheme="minorHAnsi"/>
          <w:color w:val="000000"/>
          <w:sz w:val="24"/>
          <w:szCs w:val="24"/>
        </w:rPr>
        <w:t xml:space="preserve">eadability, </w:t>
      </w:r>
      <w:r>
        <w:rPr>
          <w:rFonts w:cstheme="minorHAnsi"/>
          <w:color w:val="000000"/>
          <w:sz w:val="24"/>
          <w:szCs w:val="24"/>
        </w:rPr>
        <w:t>c</w:t>
      </w:r>
      <w:r w:rsidRPr="008038F9">
        <w:rPr>
          <w:rFonts w:cstheme="minorHAnsi"/>
          <w:color w:val="000000"/>
          <w:sz w:val="24"/>
          <w:szCs w:val="24"/>
        </w:rPr>
        <w:t xml:space="preserve">urrent </w:t>
      </w:r>
      <w:r>
        <w:rPr>
          <w:rFonts w:cstheme="minorHAnsi"/>
          <w:color w:val="000000"/>
          <w:sz w:val="24"/>
          <w:szCs w:val="24"/>
        </w:rPr>
        <w:t>e</w:t>
      </w:r>
      <w:r w:rsidRPr="008038F9">
        <w:rPr>
          <w:rFonts w:cstheme="minorHAnsi"/>
          <w:color w:val="000000"/>
          <w:sz w:val="24"/>
          <w:szCs w:val="24"/>
        </w:rPr>
        <w:t xml:space="preserve">arnings, and </w:t>
      </w:r>
      <w:r>
        <w:rPr>
          <w:rFonts w:cstheme="minorHAnsi"/>
          <w:color w:val="000000"/>
          <w:sz w:val="24"/>
          <w:szCs w:val="24"/>
        </w:rPr>
        <w:t>e</w:t>
      </w:r>
      <w:r w:rsidRPr="008038F9">
        <w:rPr>
          <w:rFonts w:cstheme="minorHAnsi"/>
          <w:color w:val="000000"/>
          <w:sz w:val="24"/>
          <w:szCs w:val="24"/>
        </w:rPr>
        <w:t xml:space="preserve">arnings </w:t>
      </w:r>
      <w:r>
        <w:rPr>
          <w:rFonts w:cstheme="minorHAnsi"/>
          <w:color w:val="000000"/>
          <w:sz w:val="24"/>
          <w:szCs w:val="24"/>
        </w:rPr>
        <w:t>p</w:t>
      </w:r>
      <w:r w:rsidRPr="008038F9">
        <w:rPr>
          <w:rFonts w:cstheme="minorHAnsi"/>
          <w:color w:val="000000"/>
          <w:sz w:val="24"/>
          <w:szCs w:val="24"/>
        </w:rPr>
        <w:t xml:space="preserve">ersistence. </w:t>
      </w:r>
      <w:r w:rsidRPr="008038F9">
        <w:rPr>
          <w:rFonts w:cstheme="minorHAnsi"/>
          <w:i/>
          <w:color w:val="000000"/>
          <w:sz w:val="24"/>
          <w:szCs w:val="24"/>
        </w:rPr>
        <w:t>Journal of Accounting and Economics</w:t>
      </w:r>
      <w:r w:rsidRPr="008038F9">
        <w:rPr>
          <w:rFonts w:cstheme="minorHAnsi"/>
          <w:color w:val="000000"/>
          <w:sz w:val="24"/>
          <w:szCs w:val="24"/>
        </w:rPr>
        <w:t xml:space="preserve"> 45: 248–52.</w:t>
      </w:r>
    </w:p>
    <w:p w14:paraId="075A3A50" w14:textId="0C311258" w:rsidR="0065759C" w:rsidRDefault="0065759C" w:rsidP="0065759C">
      <w:pPr>
        <w:autoSpaceDE w:val="0"/>
        <w:autoSpaceDN w:val="0"/>
        <w:adjustRightInd w:val="0"/>
        <w:ind w:left="709" w:hanging="709"/>
        <w:jc w:val="both"/>
        <w:rPr>
          <w:rFonts w:cstheme="minorHAnsi"/>
          <w:color w:val="000000"/>
          <w:sz w:val="24"/>
          <w:szCs w:val="24"/>
        </w:rPr>
      </w:pPr>
      <w:r w:rsidRPr="00933132">
        <w:rPr>
          <w:rFonts w:cstheme="minorHAnsi"/>
          <w:color w:val="000000"/>
          <w:sz w:val="24"/>
          <w:szCs w:val="24"/>
        </w:rPr>
        <w:t>Cai</w:t>
      </w:r>
      <w:r>
        <w:rPr>
          <w:rFonts w:cstheme="minorHAnsi"/>
          <w:color w:val="000000"/>
          <w:sz w:val="24"/>
          <w:szCs w:val="24"/>
        </w:rPr>
        <w:t>,</w:t>
      </w:r>
      <w:r w:rsidRPr="00933132">
        <w:rPr>
          <w:rFonts w:cstheme="minorHAnsi"/>
          <w:color w:val="000000"/>
          <w:sz w:val="24"/>
          <w:szCs w:val="24"/>
        </w:rPr>
        <w:t xml:space="preserve"> J</w:t>
      </w:r>
      <w:r>
        <w:rPr>
          <w:rFonts w:cstheme="minorHAnsi"/>
          <w:color w:val="000000"/>
          <w:sz w:val="24"/>
          <w:szCs w:val="24"/>
        </w:rPr>
        <w:t>.</w:t>
      </w:r>
      <w:r w:rsidRPr="00933132">
        <w:rPr>
          <w:rFonts w:cstheme="minorHAnsi"/>
          <w:color w:val="000000"/>
          <w:sz w:val="24"/>
          <w:szCs w:val="24"/>
        </w:rPr>
        <w:t xml:space="preserve">, </w:t>
      </w:r>
      <w:r>
        <w:rPr>
          <w:rFonts w:cstheme="minorHAnsi"/>
          <w:color w:val="000000"/>
          <w:sz w:val="24"/>
          <w:szCs w:val="24"/>
        </w:rPr>
        <w:t xml:space="preserve">J. </w:t>
      </w:r>
      <w:r w:rsidRPr="00933132">
        <w:rPr>
          <w:rFonts w:cstheme="minorHAnsi"/>
          <w:color w:val="000000"/>
          <w:sz w:val="24"/>
          <w:szCs w:val="24"/>
        </w:rPr>
        <w:t xml:space="preserve">Garner, </w:t>
      </w:r>
      <w:r>
        <w:rPr>
          <w:rFonts w:cstheme="minorHAnsi"/>
          <w:color w:val="000000"/>
          <w:sz w:val="24"/>
          <w:szCs w:val="24"/>
        </w:rPr>
        <w:t xml:space="preserve">and R. </w:t>
      </w:r>
      <w:r w:rsidRPr="00933132">
        <w:rPr>
          <w:rFonts w:cstheme="minorHAnsi"/>
          <w:color w:val="000000"/>
          <w:sz w:val="24"/>
          <w:szCs w:val="24"/>
        </w:rPr>
        <w:t>Walkling</w:t>
      </w:r>
      <w:r>
        <w:rPr>
          <w:rFonts w:cstheme="minorHAnsi"/>
          <w:color w:val="000000"/>
          <w:sz w:val="24"/>
          <w:szCs w:val="24"/>
        </w:rPr>
        <w:t xml:space="preserve">. </w:t>
      </w:r>
      <w:r w:rsidRPr="00933132">
        <w:rPr>
          <w:rFonts w:cstheme="minorHAnsi"/>
          <w:color w:val="000000"/>
          <w:sz w:val="24"/>
          <w:szCs w:val="24"/>
        </w:rPr>
        <w:t>2009</w:t>
      </w:r>
      <w:r>
        <w:rPr>
          <w:rFonts w:cstheme="minorHAnsi"/>
          <w:color w:val="000000"/>
          <w:sz w:val="24"/>
          <w:szCs w:val="24"/>
        </w:rPr>
        <w:t xml:space="preserve">. Electing directors. </w:t>
      </w:r>
      <w:r w:rsidRPr="00933132">
        <w:rPr>
          <w:rFonts w:cstheme="minorHAnsi"/>
          <w:i/>
          <w:color w:val="000000"/>
          <w:sz w:val="24"/>
          <w:szCs w:val="24"/>
        </w:rPr>
        <w:t>Journal of</w:t>
      </w:r>
      <w:r>
        <w:rPr>
          <w:rFonts w:cstheme="minorHAnsi"/>
          <w:i/>
          <w:color w:val="000000"/>
          <w:sz w:val="24"/>
          <w:szCs w:val="24"/>
        </w:rPr>
        <w:t xml:space="preserve"> </w:t>
      </w:r>
      <w:r w:rsidRPr="00933132">
        <w:rPr>
          <w:rFonts w:cstheme="minorHAnsi"/>
          <w:i/>
          <w:color w:val="000000"/>
          <w:sz w:val="24"/>
          <w:szCs w:val="24"/>
        </w:rPr>
        <w:t>Finance</w:t>
      </w:r>
      <w:r>
        <w:rPr>
          <w:rFonts w:cstheme="minorHAnsi"/>
          <w:color w:val="000000"/>
          <w:sz w:val="24"/>
          <w:szCs w:val="24"/>
        </w:rPr>
        <w:t xml:space="preserve"> </w:t>
      </w:r>
      <w:r w:rsidRPr="00933132">
        <w:rPr>
          <w:rFonts w:cstheme="minorHAnsi"/>
          <w:color w:val="000000"/>
          <w:sz w:val="24"/>
          <w:szCs w:val="24"/>
        </w:rPr>
        <w:t>64(5):</w:t>
      </w:r>
      <w:r>
        <w:rPr>
          <w:rFonts w:cstheme="minorHAnsi"/>
          <w:color w:val="000000"/>
          <w:sz w:val="24"/>
          <w:szCs w:val="24"/>
        </w:rPr>
        <w:t xml:space="preserve"> </w:t>
      </w:r>
      <w:r w:rsidRPr="00933132">
        <w:rPr>
          <w:rFonts w:cstheme="minorHAnsi"/>
          <w:color w:val="000000"/>
          <w:sz w:val="24"/>
          <w:szCs w:val="24"/>
        </w:rPr>
        <w:t>2389–2421.</w:t>
      </w:r>
    </w:p>
    <w:p w14:paraId="5199698C" w14:textId="00859AF7" w:rsidR="00776633" w:rsidRDefault="00776633" w:rsidP="0065759C">
      <w:pPr>
        <w:autoSpaceDE w:val="0"/>
        <w:autoSpaceDN w:val="0"/>
        <w:adjustRightInd w:val="0"/>
        <w:ind w:left="709" w:hanging="709"/>
        <w:jc w:val="both"/>
        <w:rPr>
          <w:rFonts w:cstheme="minorHAnsi"/>
          <w:color w:val="000000"/>
          <w:sz w:val="24"/>
          <w:szCs w:val="24"/>
        </w:rPr>
      </w:pPr>
      <w:r>
        <w:rPr>
          <w:rFonts w:cstheme="minorHAnsi"/>
          <w:color w:val="000000"/>
          <w:sz w:val="24"/>
          <w:szCs w:val="24"/>
        </w:rPr>
        <w:t>Cai, N., and W. He. 2019. Online voting and minority shareholders’ participation in corporate governance. Working paper. University of Queensland.</w:t>
      </w:r>
    </w:p>
    <w:p w14:paraId="6E18CF67" w14:textId="2C5FB790" w:rsidR="0065759C" w:rsidRDefault="0065759C" w:rsidP="0065759C">
      <w:pPr>
        <w:autoSpaceDE w:val="0"/>
        <w:autoSpaceDN w:val="0"/>
        <w:adjustRightInd w:val="0"/>
        <w:ind w:left="709" w:hanging="709"/>
        <w:jc w:val="both"/>
        <w:rPr>
          <w:rFonts w:cstheme="minorHAnsi"/>
          <w:color w:val="000000"/>
          <w:sz w:val="24"/>
          <w:szCs w:val="24"/>
        </w:rPr>
      </w:pPr>
      <w:r w:rsidRPr="002A3560">
        <w:rPr>
          <w:rFonts w:cstheme="minorHAnsi"/>
          <w:color w:val="000000"/>
          <w:sz w:val="24"/>
          <w:szCs w:val="24"/>
        </w:rPr>
        <w:t xml:space="preserve">Chen, Z., B. Ke, and Z. Yang. 2013. Minority shareholders’ control rights and the quality of </w:t>
      </w:r>
      <w:r>
        <w:rPr>
          <w:rFonts w:cstheme="minorHAnsi"/>
          <w:color w:val="000000"/>
          <w:sz w:val="24"/>
          <w:szCs w:val="24"/>
        </w:rPr>
        <w:t>c</w:t>
      </w:r>
      <w:r w:rsidRPr="002A3560">
        <w:rPr>
          <w:rFonts w:cstheme="minorHAnsi"/>
          <w:color w:val="000000"/>
          <w:sz w:val="24"/>
          <w:szCs w:val="24"/>
        </w:rPr>
        <w:t xml:space="preserve">orporate decisions in weak investor protection countries: A natural experiment from China. </w:t>
      </w:r>
      <w:r w:rsidRPr="002A3560">
        <w:rPr>
          <w:rFonts w:cstheme="minorHAnsi"/>
          <w:i/>
          <w:color w:val="000000"/>
          <w:sz w:val="24"/>
          <w:szCs w:val="24"/>
        </w:rPr>
        <w:t>The Accounting Review</w:t>
      </w:r>
      <w:r w:rsidRPr="002A3560">
        <w:rPr>
          <w:rFonts w:cstheme="minorHAnsi"/>
          <w:color w:val="000000"/>
          <w:sz w:val="24"/>
          <w:szCs w:val="24"/>
        </w:rPr>
        <w:t xml:space="preserve"> 88: 1211</w:t>
      </w:r>
      <w:r>
        <w:rPr>
          <w:rFonts w:cstheme="minorHAnsi"/>
          <w:color w:val="000000"/>
          <w:sz w:val="24"/>
          <w:szCs w:val="24"/>
        </w:rPr>
        <w:t>–</w:t>
      </w:r>
      <w:r w:rsidRPr="002A3560">
        <w:rPr>
          <w:rFonts w:cstheme="minorHAnsi"/>
          <w:color w:val="000000"/>
          <w:sz w:val="24"/>
          <w:szCs w:val="24"/>
        </w:rPr>
        <w:t>1238.</w:t>
      </w:r>
    </w:p>
    <w:p w14:paraId="1C69B782" w14:textId="40D13B27" w:rsidR="0065759C" w:rsidRDefault="0065759C" w:rsidP="0065759C">
      <w:pPr>
        <w:autoSpaceDE w:val="0"/>
        <w:autoSpaceDN w:val="0"/>
        <w:adjustRightInd w:val="0"/>
        <w:ind w:left="709" w:hanging="709"/>
        <w:jc w:val="both"/>
        <w:rPr>
          <w:rFonts w:ascii="Times New Roman" w:hAnsi="Times New Roman" w:cs="Times New Roman"/>
          <w:sz w:val="24"/>
          <w:szCs w:val="24"/>
          <w:lang w:val="en-US"/>
        </w:rPr>
      </w:pPr>
      <w:r w:rsidRPr="0065759C">
        <w:rPr>
          <w:rFonts w:ascii="Times New Roman" w:hAnsi="Times New Roman" w:cs="Times New Roman"/>
          <w:sz w:val="24"/>
          <w:szCs w:val="24"/>
          <w:lang w:val="en-US"/>
        </w:rPr>
        <w:t>Djankov, Simeon, Rafael La Porta, Florencio Lopez-de Silanes, and Andrei Shleifer, 2008, The law and economics of self-</w:t>
      </w:r>
      <w:r w:rsidRPr="0065759C">
        <w:rPr>
          <w:rFonts w:cstheme="minorHAnsi"/>
          <w:color w:val="000000"/>
          <w:sz w:val="24"/>
          <w:szCs w:val="24"/>
        </w:rPr>
        <w:t>dealing</w:t>
      </w:r>
      <w:r w:rsidRPr="0065759C">
        <w:rPr>
          <w:rFonts w:ascii="Times New Roman" w:hAnsi="Times New Roman" w:cs="Times New Roman"/>
          <w:sz w:val="24"/>
          <w:szCs w:val="24"/>
          <w:lang w:val="en-US"/>
        </w:rPr>
        <w:t xml:space="preserve">, </w:t>
      </w:r>
      <w:r w:rsidRPr="0065759C">
        <w:rPr>
          <w:rFonts w:ascii="Times New Roman" w:hAnsi="Times New Roman" w:cs="Times New Roman"/>
          <w:i/>
          <w:sz w:val="24"/>
          <w:szCs w:val="24"/>
          <w:lang w:val="en-US"/>
        </w:rPr>
        <w:t>Journal of Financial Economics</w:t>
      </w:r>
      <w:r w:rsidRPr="0065759C">
        <w:rPr>
          <w:rFonts w:ascii="Times New Roman" w:hAnsi="Times New Roman" w:cs="Times New Roman"/>
          <w:sz w:val="24"/>
          <w:szCs w:val="24"/>
          <w:lang w:val="en-US"/>
        </w:rPr>
        <w:t xml:space="preserve"> 88, 430-465.</w:t>
      </w:r>
    </w:p>
    <w:p w14:paraId="35D7189E" w14:textId="2096A10B" w:rsidR="00776633" w:rsidRDefault="00776633" w:rsidP="0065759C">
      <w:pPr>
        <w:autoSpaceDE w:val="0"/>
        <w:autoSpaceDN w:val="0"/>
        <w:adjustRightInd w:val="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Gauguly, A., A. Gauguly, L. Ge, and C. Zutter. 2019. </w:t>
      </w:r>
      <w:r w:rsidRPr="00776633">
        <w:rPr>
          <w:rFonts w:ascii="Times New Roman" w:hAnsi="Times New Roman" w:cs="Times New Roman"/>
          <w:sz w:val="24"/>
          <w:szCs w:val="24"/>
          <w:lang w:val="en-US"/>
        </w:rPr>
        <w:t xml:space="preserve">Shareholder </w:t>
      </w:r>
      <w:r>
        <w:rPr>
          <w:rFonts w:ascii="Times New Roman" w:hAnsi="Times New Roman" w:cs="Times New Roman"/>
          <w:sz w:val="24"/>
          <w:szCs w:val="24"/>
          <w:lang w:val="en-US"/>
        </w:rPr>
        <w:t>l</w:t>
      </w:r>
      <w:r w:rsidRPr="00776633">
        <w:rPr>
          <w:rFonts w:ascii="Times New Roman" w:hAnsi="Times New Roman" w:cs="Times New Roman"/>
          <w:sz w:val="24"/>
          <w:szCs w:val="24"/>
          <w:lang w:val="en-US"/>
        </w:rPr>
        <w:t xml:space="preserve">itigation and </w:t>
      </w:r>
      <w:r>
        <w:rPr>
          <w:rFonts w:ascii="Times New Roman" w:hAnsi="Times New Roman" w:cs="Times New Roman"/>
          <w:sz w:val="24"/>
          <w:szCs w:val="24"/>
          <w:lang w:val="en-US"/>
        </w:rPr>
        <w:t>r</w:t>
      </w:r>
      <w:r w:rsidRPr="00776633">
        <w:rPr>
          <w:rFonts w:ascii="Times New Roman" w:hAnsi="Times New Roman" w:cs="Times New Roman"/>
          <w:sz w:val="24"/>
          <w:szCs w:val="24"/>
          <w:lang w:val="en-US"/>
        </w:rPr>
        <w:t xml:space="preserve">eadability in </w:t>
      </w:r>
      <w:r>
        <w:rPr>
          <w:rFonts w:ascii="Times New Roman" w:hAnsi="Times New Roman" w:cs="Times New Roman"/>
          <w:sz w:val="24"/>
          <w:szCs w:val="24"/>
          <w:lang w:val="en-US"/>
        </w:rPr>
        <w:t>f</w:t>
      </w:r>
      <w:r w:rsidRPr="00776633">
        <w:rPr>
          <w:rFonts w:ascii="Times New Roman" w:hAnsi="Times New Roman" w:cs="Times New Roman"/>
          <w:sz w:val="24"/>
          <w:szCs w:val="24"/>
          <w:lang w:val="en-US"/>
        </w:rPr>
        <w:t xml:space="preserve">inancial </w:t>
      </w:r>
      <w:r>
        <w:rPr>
          <w:rFonts w:ascii="Times New Roman" w:hAnsi="Times New Roman" w:cs="Times New Roman"/>
          <w:sz w:val="24"/>
          <w:szCs w:val="24"/>
          <w:lang w:val="en-US"/>
        </w:rPr>
        <w:t>d</w:t>
      </w:r>
      <w:r w:rsidRPr="00776633">
        <w:rPr>
          <w:rFonts w:ascii="Times New Roman" w:hAnsi="Times New Roman" w:cs="Times New Roman"/>
          <w:sz w:val="24"/>
          <w:szCs w:val="24"/>
          <w:lang w:val="en-US"/>
        </w:rPr>
        <w:t xml:space="preserve">isclosures: Evidence from a </w:t>
      </w:r>
      <w:r>
        <w:rPr>
          <w:rFonts w:ascii="Times New Roman" w:hAnsi="Times New Roman" w:cs="Times New Roman"/>
          <w:sz w:val="24"/>
          <w:szCs w:val="24"/>
          <w:lang w:val="en-US"/>
        </w:rPr>
        <w:t>n</w:t>
      </w:r>
      <w:r w:rsidRPr="00776633">
        <w:rPr>
          <w:rFonts w:ascii="Times New Roman" w:hAnsi="Times New Roman" w:cs="Times New Roman"/>
          <w:sz w:val="24"/>
          <w:szCs w:val="24"/>
          <w:lang w:val="en-US"/>
        </w:rPr>
        <w:t xml:space="preserve">atural </w:t>
      </w:r>
      <w:r>
        <w:rPr>
          <w:rFonts w:ascii="Times New Roman" w:hAnsi="Times New Roman" w:cs="Times New Roman"/>
          <w:sz w:val="24"/>
          <w:szCs w:val="24"/>
          <w:lang w:val="en-US"/>
        </w:rPr>
        <w:t>e</w:t>
      </w:r>
      <w:r w:rsidRPr="00776633">
        <w:rPr>
          <w:rFonts w:ascii="Times New Roman" w:hAnsi="Times New Roman" w:cs="Times New Roman"/>
          <w:sz w:val="24"/>
          <w:szCs w:val="24"/>
          <w:lang w:val="en-US"/>
        </w:rPr>
        <w:t>xperiment</w:t>
      </w:r>
      <w:r>
        <w:rPr>
          <w:rFonts w:ascii="Times New Roman" w:hAnsi="Times New Roman" w:cs="Times New Roman"/>
          <w:sz w:val="24"/>
          <w:szCs w:val="24"/>
          <w:lang w:val="en-US"/>
        </w:rPr>
        <w:t>. Working paper, Indiana University.</w:t>
      </w:r>
    </w:p>
    <w:p w14:paraId="2EE38B37" w14:textId="041C20A1" w:rsidR="008038F9" w:rsidRDefault="008038F9" w:rsidP="0065759C">
      <w:pPr>
        <w:autoSpaceDE w:val="0"/>
        <w:autoSpaceDN w:val="0"/>
        <w:adjustRightInd w:val="0"/>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Hope, O., and H. Lu. 2019. Economic c</w:t>
      </w:r>
      <w:r w:rsidRPr="008038F9">
        <w:rPr>
          <w:rFonts w:ascii="Times New Roman" w:hAnsi="Times New Roman" w:cs="Times New Roman"/>
          <w:sz w:val="24"/>
          <w:szCs w:val="24"/>
          <w:lang w:val="en-US"/>
        </w:rPr>
        <w:t xml:space="preserve">onsequences of </w:t>
      </w:r>
      <w:r>
        <w:rPr>
          <w:rFonts w:ascii="Times New Roman" w:hAnsi="Times New Roman" w:cs="Times New Roman"/>
          <w:sz w:val="24"/>
          <w:szCs w:val="24"/>
          <w:lang w:val="en-US"/>
        </w:rPr>
        <w:t>c</w:t>
      </w:r>
      <w:r w:rsidRPr="008038F9">
        <w:rPr>
          <w:rFonts w:ascii="Times New Roman" w:hAnsi="Times New Roman" w:cs="Times New Roman"/>
          <w:sz w:val="24"/>
          <w:szCs w:val="24"/>
          <w:lang w:val="en-US"/>
        </w:rPr>
        <w:t xml:space="preserve">orporate </w:t>
      </w:r>
      <w:r>
        <w:rPr>
          <w:rFonts w:ascii="Times New Roman" w:hAnsi="Times New Roman" w:cs="Times New Roman"/>
          <w:sz w:val="24"/>
          <w:szCs w:val="24"/>
          <w:lang w:val="en-US"/>
        </w:rPr>
        <w:t>g</w:t>
      </w:r>
      <w:r w:rsidRPr="008038F9">
        <w:rPr>
          <w:rFonts w:ascii="Times New Roman" w:hAnsi="Times New Roman" w:cs="Times New Roman"/>
          <w:sz w:val="24"/>
          <w:szCs w:val="24"/>
          <w:lang w:val="en-US"/>
        </w:rPr>
        <w:t xml:space="preserve">overnance </w:t>
      </w:r>
      <w:r>
        <w:rPr>
          <w:rFonts w:ascii="Times New Roman" w:hAnsi="Times New Roman" w:cs="Times New Roman"/>
          <w:sz w:val="24"/>
          <w:szCs w:val="24"/>
          <w:lang w:val="en-US"/>
        </w:rPr>
        <w:t>d</w:t>
      </w:r>
      <w:r w:rsidRPr="008038F9">
        <w:rPr>
          <w:rFonts w:ascii="Times New Roman" w:hAnsi="Times New Roman" w:cs="Times New Roman"/>
          <w:sz w:val="24"/>
          <w:szCs w:val="24"/>
          <w:lang w:val="en-US"/>
        </w:rPr>
        <w:t xml:space="preserve">isclosure: Evidence from the 2006 SEC </w:t>
      </w:r>
      <w:r>
        <w:rPr>
          <w:rFonts w:ascii="Times New Roman" w:hAnsi="Times New Roman" w:cs="Times New Roman"/>
          <w:sz w:val="24"/>
          <w:szCs w:val="24"/>
          <w:lang w:val="en-US"/>
        </w:rPr>
        <w:t>r</w:t>
      </w:r>
      <w:r w:rsidRPr="008038F9">
        <w:rPr>
          <w:rFonts w:ascii="Times New Roman" w:hAnsi="Times New Roman" w:cs="Times New Roman"/>
          <w:sz w:val="24"/>
          <w:szCs w:val="24"/>
          <w:lang w:val="en-US"/>
        </w:rPr>
        <w:t xml:space="preserve">egulation on </w:t>
      </w:r>
      <w:r>
        <w:rPr>
          <w:rFonts w:ascii="Times New Roman" w:hAnsi="Times New Roman" w:cs="Times New Roman"/>
          <w:sz w:val="24"/>
          <w:szCs w:val="24"/>
          <w:lang w:val="en-US"/>
        </w:rPr>
        <w:t>r</w:t>
      </w:r>
      <w:r w:rsidRPr="008038F9">
        <w:rPr>
          <w:rFonts w:ascii="Times New Roman" w:hAnsi="Times New Roman" w:cs="Times New Roman"/>
          <w:sz w:val="24"/>
          <w:szCs w:val="24"/>
          <w:lang w:val="en-US"/>
        </w:rPr>
        <w:t>elated-</w:t>
      </w:r>
      <w:r>
        <w:rPr>
          <w:rFonts w:ascii="Times New Roman" w:hAnsi="Times New Roman" w:cs="Times New Roman"/>
          <w:sz w:val="24"/>
          <w:szCs w:val="24"/>
          <w:lang w:val="en-US"/>
        </w:rPr>
        <w:t>p</w:t>
      </w:r>
      <w:r w:rsidRPr="008038F9">
        <w:rPr>
          <w:rFonts w:ascii="Times New Roman" w:hAnsi="Times New Roman" w:cs="Times New Roman"/>
          <w:sz w:val="24"/>
          <w:szCs w:val="24"/>
          <w:lang w:val="en-US"/>
        </w:rPr>
        <w:t xml:space="preserve">arty </w:t>
      </w:r>
      <w:r>
        <w:rPr>
          <w:rFonts w:ascii="Times New Roman" w:hAnsi="Times New Roman" w:cs="Times New Roman"/>
          <w:sz w:val="24"/>
          <w:szCs w:val="24"/>
          <w:lang w:val="en-US"/>
        </w:rPr>
        <w:t>t</w:t>
      </w:r>
      <w:r w:rsidRPr="008038F9">
        <w:rPr>
          <w:rFonts w:ascii="Times New Roman" w:hAnsi="Times New Roman" w:cs="Times New Roman"/>
          <w:sz w:val="24"/>
          <w:szCs w:val="24"/>
          <w:lang w:val="en-US"/>
        </w:rPr>
        <w:t>ransactions</w:t>
      </w:r>
      <w:r>
        <w:rPr>
          <w:rFonts w:ascii="Times New Roman" w:hAnsi="Times New Roman" w:cs="Times New Roman"/>
          <w:sz w:val="24"/>
          <w:szCs w:val="24"/>
          <w:lang w:val="en-US"/>
        </w:rPr>
        <w:t xml:space="preserve">. </w:t>
      </w:r>
      <w:r w:rsidRPr="008038F9">
        <w:rPr>
          <w:rFonts w:ascii="Times New Roman" w:hAnsi="Times New Roman" w:cs="Times New Roman"/>
          <w:i/>
          <w:sz w:val="24"/>
          <w:szCs w:val="24"/>
          <w:lang w:val="en-US"/>
        </w:rPr>
        <w:t>The Accounting Review</w:t>
      </w:r>
      <w:r>
        <w:rPr>
          <w:rFonts w:ascii="Times New Roman" w:hAnsi="Times New Roman" w:cs="Times New Roman"/>
          <w:sz w:val="24"/>
          <w:szCs w:val="24"/>
          <w:lang w:val="en-US"/>
        </w:rPr>
        <w:t>, forthcoming.</w:t>
      </w:r>
    </w:p>
    <w:p w14:paraId="461C7949" w14:textId="19094A5B" w:rsidR="00050AFA" w:rsidRPr="0065759C" w:rsidRDefault="00050AFA" w:rsidP="0065759C">
      <w:pPr>
        <w:autoSpaceDE w:val="0"/>
        <w:autoSpaceDN w:val="0"/>
        <w:adjustRightInd w:val="0"/>
        <w:ind w:left="709" w:hanging="709"/>
        <w:jc w:val="both"/>
        <w:rPr>
          <w:rFonts w:ascii="Times New Roman" w:hAnsi="Times New Roman" w:cs="Times New Roman"/>
          <w:sz w:val="24"/>
          <w:szCs w:val="24"/>
          <w:lang w:val="en-US"/>
        </w:rPr>
      </w:pPr>
      <w:r w:rsidRPr="00050AFA">
        <w:rPr>
          <w:rFonts w:ascii="Times New Roman" w:hAnsi="Times New Roman" w:cs="Times New Roman"/>
          <w:sz w:val="24"/>
          <w:szCs w:val="24"/>
          <w:lang w:val="en-US"/>
        </w:rPr>
        <w:t>Huang, Xuan, Siew Hong Teoh, and Yinglei Zhang. "Tone management." The Accounting Review 89, no. 3 (2014): 1083-1113.</w:t>
      </w:r>
    </w:p>
    <w:p w14:paraId="3505BFD8" w14:textId="77777777" w:rsidR="0065759C" w:rsidRDefault="0065759C" w:rsidP="0065759C">
      <w:pPr>
        <w:autoSpaceDE w:val="0"/>
        <w:autoSpaceDN w:val="0"/>
        <w:adjustRightInd w:val="0"/>
        <w:ind w:left="709" w:hanging="709"/>
        <w:jc w:val="both"/>
        <w:rPr>
          <w:rFonts w:cstheme="minorHAnsi"/>
          <w:color w:val="000000"/>
          <w:sz w:val="24"/>
          <w:szCs w:val="24"/>
        </w:rPr>
      </w:pPr>
      <w:r>
        <w:rPr>
          <w:rFonts w:cstheme="minorHAnsi"/>
          <w:color w:val="000000"/>
          <w:sz w:val="24"/>
          <w:szCs w:val="24"/>
        </w:rPr>
        <w:t>Iliev, P.</w:t>
      </w:r>
      <w:r w:rsidRPr="00933132">
        <w:rPr>
          <w:rFonts w:cstheme="minorHAnsi"/>
          <w:color w:val="000000"/>
          <w:sz w:val="24"/>
          <w:szCs w:val="24"/>
        </w:rPr>
        <w:t>, K</w:t>
      </w:r>
      <w:r>
        <w:rPr>
          <w:rFonts w:cstheme="minorHAnsi"/>
          <w:color w:val="000000"/>
          <w:sz w:val="24"/>
          <w:szCs w:val="24"/>
        </w:rPr>
        <w:t xml:space="preserve">. </w:t>
      </w:r>
      <w:r w:rsidRPr="00933132">
        <w:rPr>
          <w:rFonts w:cstheme="minorHAnsi"/>
          <w:color w:val="000000"/>
          <w:sz w:val="24"/>
          <w:szCs w:val="24"/>
        </w:rPr>
        <w:t>Lins, D</w:t>
      </w:r>
      <w:r>
        <w:rPr>
          <w:rFonts w:cstheme="minorHAnsi"/>
          <w:color w:val="000000"/>
          <w:sz w:val="24"/>
          <w:szCs w:val="24"/>
        </w:rPr>
        <w:t xml:space="preserve">. </w:t>
      </w:r>
      <w:r w:rsidRPr="00933132">
        <w:rPr>
          <w:rFonts w:cstheme="minorHAnsi"/>
          <w:color w:val="000000"/>
          <w:sz w:val="24"/>
          <w:szCs w:val="24"/>
        </w:rPr>
        <w:t>Miller, and L</w:t>
      </w:r>
      <w:r>
        <w:rPr>
          <w:rFonts w:cstheme="minorHAnsi"/>
          <w:color w:val="000000"/>
          <w:sz w:val="24"/>
          <w:szCs w:val="24"/>
        </w:rPr>
        <w:t xml:space="preserve">. </w:t>
      </w:r>
      <w:r w:rsidRPr="00933132">
        <w:rPr>
          <w:rFonts w:cstheme="minorHAnsi"/>
          <w:color w:val="000000"/>
          <w:sz w:val="24"/>
          <w:szCs w:val="24"/>
        </w:rPr>
        <w:t>Roth</w:t>
      </w:r>
      <w:r>
        <w:rPr>
          <w:rFonts w:cstheme="minorHAnsi"/>
          <w:color w:val="000000"/>
          <w:sz w:val="24"/>
          <w:szCs w:val="24"/>
        </w:rPr>
        <w:t>.</w:t>
      </w:r>
      <w:r w:rsidRPr="00933132">
        <w:rPr>
          <w:rFonts w:cstheme="minorHAnsi"/>
          <w:color w:val="000000"/>
          <w:sz w:val="24"/>
          <w:szCs w:val="24"/>
        </w:rPr>
        <w:t xml:space="preserve"> 2015</w:t>
      </w:r>
      <w:r>
        <w:rPr>
          <w:rFonts w:cstheme="minorHAnsi"/>
          <w:color w:val="000000"/>
          <w:sz w:val="24"/>
          <w:szCs w:val="24"/>
        </w:rPr>
        <w:t>.</w:t>
      </w:r>
      <w:r w:rsidRPr="00933132">
        <w:rPr>
          <w:rFonts w:cstheme="minorHAnsi"/>
          <w:color w:val="000000"/>
          <w:sz w:val="24"/>
          <w:szCs w:val="24"/>
        </w:rPr>
        <w:t xml:space="preserve"> Shareholder voting and corporate</w:t>
      </w:r>
      <w:r>
        <w:rPr>
          <w:rFonts w:cstheme="minorHAnsi"/>
          <w:color w:val="000000"/>
          <w:sz w:val="24"/>
          <w:szCs w:val="24"/>
        </w:rPr>
        <w:t xml:space="preserve"> </w:t>
      </w:r>
      <w:r w:rsidRPr="00933132">
        <w:rPr>
          <w:rFonts w:cstheme="minorHAnsi"/>
          <w:color w:val="000000"/>
          <w:sz w:val="24"/>
          <w:szCs w:val="24"/>
        </w:rPr>
        <w:t>governance around the world</w:t>
      </w:r>
      <w:r>
        <w:rPr>
          <w:rFonts w:cstheme="minorHAnsi"/>
          <w:color w:val="000000"/>
          <w:sz w:val="24"/>
          <w:szCs w:val="24"/>
        </w:rPr>
        <w:t>.</w:t>
      </w:r>
      <w:r w:rsidRPr="00933132">
        <w:rPr>
          <w:rFonts w:cstheme="minorHAnsi"/>
          <w:color w:val="000000"/>
          <w:sz w:val="24"/>
          <w:szCs w:val="24"/>
        </w:rPr>
        <w:t xml:space="preserve"> </w:t>
      </w:r>
      <w:r w:rsidRPr="00933132">
        <w:rPr>
          <w:rFonts w:cstheme="minorHAnsi"/>
          <w:i/>
          <w:color w:val="000000"/>
          <w:sz w:val="24"/>
          <w:szCs w:val="24"/>
        </w:rPr>
        <w:t>Review of Financial Studies</w:t>
      </w:r>
      <w:r>
        <w:rPr>
          <w:rFonts w:cstheme="minorHAnsi"/>
          <w:color w:val="000000"/>
          <w:sz w:val="24"/>
          <w:szCs w:val="24"/>
        </w:rPr>
        <w:t xml:space="preserve"> 28: 216–</w:t>
      </w:r>
      <w:r w:rsidRPr="00933132">
        <w:rPr>
          <w:rFonts w:cstheme="minorHAnsi"/>
          <w:color w:val="000000"/>
          <w:sz w:val="24"/>
          <w:szCs w:val="24"/>
        </w:rPr>
        <w:t>2202.</w:t>
      </w:r>
    </w:p>
    <w:p w14:paraId="3CC32B26" w14:textId="4DACD606" w:rsidR="0065759C" w:rsidRDefault="0065759C" w:rsidP="0065759C">
      <w:pPr>
        <w:autoSpaceDE w:val="0"/>
        <w:autoSpaceDN w:val="0"/>
        <w:adjustRightInd w:val="0"/>
        <w:ind w:left="709" w:hanging="709"/>
        <w:jc w:val="both"/>
        <w:rPr>
          <w:rFonts w:cstheme="minorHAnsi"/>
          <w:color w:val="000000"/>
          <w:sz w:val="24"/>
          <w:szCs w:val="24"/>
        </w:rPr>
      </w:pPr>
      <w:r w:rsidRPr="002A3560">
        <w:rPr>
          <w:rFonts w:cstheme="minorHAnsi"/>
          <w:color w:val="000000"/>
          <w:sz w:val="24"/>
          <w:szCs w:val="24"/>
        </w:rPr>
        <w:t>Jiang, G., C. Lee, and H. Yue. 2010. Tunneling through inter-corporate loans: The China experience.</w:t>
      </w:r>
      <w:r>
        <w:rPr>
          <w:rFonts w:cstheme="minorHAnsi"/>
          <w:color w:val="000000"/>
          <w:sz w:val="24"/>
          <w:szCs w:val="24"/>
        </w:rPr>
        <w:t xml:space="preserve"> </w:t>
      </w:r>
      <w:r w:rsidRPr="002A3560">
        <w:rPr>
          <w:rFonts w:cstheme="minorHAnsi"/>
          <w:i/>
          <w:iCs/>
          <w:sz w:val="24"/>
          <w:szCs w:val="24"/>
        </w:rPr>
        <w:t>Journal of Financial Economics</w:t>
      </w:r>
      <w:r w:rsidRPr="002A3560">
        <w:rPr>
          <w:rFonts w:cstheme="minorHAnsi"/>
          <w:color w:val="0000FF"/>
          <w:sz w:val="24"/>
          <w:szCs w:val="24"/>
        </w:rPr>
        <w:t xml:space="preserve"> </w:t>
      </w:r>
      <w:r w:rsidRPr="002A3560">
        <w:rPr>
          <w:rFonts w:cstheme="minorHAnsi"/>
          <w:color w:val="000000"/>
          <w:sz w:val="24"/>
          <w:szCs w:val="24"/>
        </w:rPr>
        <w:t>98: 1–20.</w:t>
      </w:r>
    </w:p>
    <w:p w14:paraId="7A9B7DE7" w14:textId="13FC5DB5" w:rsidR="00776633" w:rsidRDefault="00776633" w:rsidP="0065759C">
      <w:pPr>
        <w:autoSpaceDE w:val="0"/>
        <w:autoSpaceDN w:val="0"/>
        <w:adjustRightInd w:val="0"/>
        <w:ind w:left="709" w:hanging="709"/>
        <w:jc w:val="both"/>
        <w:rPr>
          <w:rFonts w:cstheme="minorHAnsi"/>
          <w:color w:val="000000"/>
          <w:sz w:val="24"/>
          <w:szCs w:val="24"/>
        </w:rPr>
      </w:pPr>
      <w:r>
        <w:rPr>
          <w:rFonts w:cstheme="minorHAnsi"/>
          <w:color w:val="000000"/>
          <w:sz w:val="24"/>
          <w:szCs w:val="24"/>
        </w:rPr>
        <w:t xml:space="preserve">Kim, C., K. Wang, and L. Zhang. 2019. Readability of 10-K reports and stock price crash risk. </w:t>
      </w:r>
      <w:r w:rsidRPr="00776633">
        <w:rPr>
          <w:rFonts w:cstheme="minorHAnsi"/>
          <w:i/>
          <w:color w:val="000000"/>
          <w:sz w:val="24"/>
          <w:szCs w:val="24"/>
        </w:rPr>
        <w:t>Contemporary Accounting Research</w:t>
      </w:r>
      <w:r>
        <w:rPr>
          <w:rFonts w:cstheme="minorHAnsi"/>
          <w:color w:val="000000"/>
          <w:sz w:val="24"/>
          <w:szCs w:val="24"/>
        </w:rPr>
        <w:t xml:space="preserve"> 36: 1184-1216.</w:t>
      </w:r>
    </w:p>
    <w:p w14:paraId="64237ED9" w14:textId="2BA8A015" w:rsidR="008038F9" w:rsidRPr="008038F9" w:rsidRDefault="008038F9" w:rsidP="00776633">
      <w:pPr>
        <w:autoSpaceDE w:val="0"/>
        <w:autoSpaceDN w:val="0"/>
        <w:adjustRightInd w:val="0"/>
        <w:ind w:left="709" w:hanging="709"/>
        <w:jc w:val="both"/>
        <w:rPr>
          <w:sz w:val="24"/>
        </w:rPr>
      </w:pPr>
      <w:r w:rsidRPr="008038F9">
        <w:rPr>
          <w:sz w:val="24"/>
        </w:rPr>
        <w:t xml:space="preserve">Kohlbeck, </w:t>
      </w:r>
      <w:r>
        <w:t>M.</w:t>
      </w:r>
      <w:r w:rsidRPr="008038F9">
        <w:rPr>
          <w:sz w:val="24"/>
        </w:rPr>
        <w:t>, and B</w:t>
      </w:r>
      <w:r>
        <w:t>.</w:t>
      </w:r>
      <w:r w:rsidRPr="008038F9">
        <w:rPr>
          <w:sz w:val="24"/>
        </w:rPr>
        <w:t xml:space="preserve"> W. Mayhew. 2010. Valuation of </w:t>
      </w:r>
      <w:r>
        <w:t>f</w:t>
      </w:r>
      <w:r w:rsidRPr="008038F9">
        <w:rPr>
          <w:sz w:val="24"/>
        </w:rPr>
        <w:t xml:space="preserve">irms </w:t>
      </w:r>
      <w:r>
        <w:t>t</w:t>
      </w:r>
      <w:r w:rsidRPr="008038F9">
        <w:rPr>
          <w:sz w:val="24"/>
        </w:rPr>
        <w:t xml:space="preserve">hat </w:t>
      </w:r>
      <w:r>
        <w:t>d</w:t>
      </w:r>
      <w:r w:rsidRPr="008038F9">
        <w:rPr>
          <w:sz w:val="24"/>
        </w:rPr>
        <w:t xml:space="preserve">isclose </w:t>
      </w:r>
      <w:r>
        <w:t>r</w:t>
      </w:r>
      <w:r w:rsidRPr="008038F9">
        <w:rPr>
          <w:sz w:val="24"/>
        </w:rPr>
        <w:t xml:space="preserve">elated </w:t>
      </w:r>
      <w:r>
        <w:t>p</w:t>
      </w:r>
      <w:r w:rsidRPr="008038F9">
        <w:rPr>
          <w:sz w:val="24"/>
        </w:rPr>
        <w:t>arty</w:t>
      </w:r>
      <w:r>
        <w:t xml:space="preserve"> </w:t>
      </w:r>
      <w:r w:rsidR="00776633" w:rsidRPr="00776633">
        <w:rPr>
          <w:rFonts w:cstheme="minorHAnsi"/>
          <w:color w:val="000000"/>
          <w:sz w:val="24"/>
          <w:szCs w:val="24"/>
        </w:rPr>
        <w:t>t</w:t>
      </w:r>
      <w:r w:rsidRPr="00776633">
        <w:rPr>
          <w:rFonts w:cstheme="minorHAnsi"/>
          <w:color w:val="000000"/>
          <w:sz w:val="24"/>
          <w:szCs w:val="24"/>
        </w:rPr>
        <w:t>ransactions</w:t>
      </w:r>
      <w:r w:rsidRPr="008038F9">
        <w:rPr>
          <w:sz w:val="24"/>
        </w:rPr>
        <w:t xml:space="preserve">. </w:t>
      </w:r>
      <w:r w:rsidRPr="008038F9">
        <w:rPr>
          <w:i/>
          <w:iCs/>
          <w:sz w:val="24"/>
        </w:rPr>
        <w:t xml:space="preserve">Journal of Accounting and Public Policy </w:t>
      </w:r>
      <w:r w:rsidRPr="008038F9">
        <w:rPr>
          <w:sz w:val="24"/>
        </w:rPr>
        <w:t xml:space="preserve">29 (2): 115–37. </w:t>
      </w:r>
    </w:p>
    <w:p w14:paraId="4C2F1FCF" w14:textId="094737B7" w:rsidR="008038F9" w:rsidRDefault="008038F9" w:rsidP="008038F9">
      <w:pPr>
        <w:autoSpaceDE w:val="0"/>
        <w:autoSpaceDN w:val="0"/>
        <w:adjustRightInd w:val="0"/>
        <w:ind w:left="709" w:hanging="709"/>
        <w:jc w:val="both"/>
        <w:rPr>
          <w:rFonts w:cstheme="minorHAnsi"/>
          <w:color w:val="000000"/>
          <w:sz w:val="24"/>
          <w:szCs w:val="24"/>
        </w:rPr>
      </w:pPr>
      <w:r w:rsidRPr="008038F9">
        <w:rPr>
          <w:sz w:val="24"/>
        </w:rPr>
        <w:t>Kohlbeck, M</w:t>
      </w:r>
      <w:r w:rsidR="00776633">
        <w:rPr>
          <w:sz w:val="24"/>
        </w:rPr>
        <w:t>.</w:t>
      </w:r>
      <w:r w:rsidRPr="008038F9">
        <w:rPr>
          <w:sz w:val="24"/>
        </w:rPr>
        <w:t>, and B</w:t>
      </w:r>
      <w:r w:rsidR="00776633">
        <w:rPr>
          <w:sz w:val="24"/>
        </w:rPr>
        <w:t>.</w:t>
      </w:r>
      <w:r w:rsidRPr="008038F9">
        <w:rPr>
          <w:sz w:val="24"/>
        </w:rPr>
        <w:t xml:space="preserve"> W. Mayhew. </w:t>
      </w:r>
      <w:r w:rsidR="00776633">
        <w:rPr>
          <w:sz w:val="24"/>
        </w:rPr>
        <w:t xml:space="preserve">2017. </w:t>
      </w:r>
      <w:r w:rsidRPr="008038F9">
        <w:rPr>
          <w:sz w:val="24"/>
        </w:rPr>
        <w:t xml:space="preserve">Are </w:t>
      </w:r>
      <w:r w:rsidR="00776633">
        <w:rPr>
          <w:sz w:val="24"/>
        </w:rPr>
        <w:t>r</w:t>
      </w:r>
      <w:r w:rsidRPr="008038F9">
        <w:rPr>
          <w:sz w:val="24"/>
        </w:rPr>
        <w:t xml:space="preserve">elated </w:t>
      </w:r>
      <w:r w:rsidR="00776633">
        <w:rPr>
          <w:sz w:val="24"/>
        </w:rPr>
        <w:t>p</w:t>
      </w:r>
      <w:r w:rsidRPr="008038F9">
        <w:rPr>
          <w:sz w:val="24"/>
        </w:rPr>
        <w:t xml:space="preserve">arty </w:t>
      </w:r>
      <w:r w:rsidR="00776633">
        <w:rPr>
          <w:sz w:val="24"/>
        </w:rPr>
        <w:t>t</w:t>
      </w:r>
      <w:r w:rsidRPr="008038F9">
        <w:rPr>
          <w:sz w:val="24"/>
        </w:rPr>
        <w:t xml:space="preserve">ransactions </w:t>
      </w:r>
      <w:r w:rsidR="00776633">
        <w:rPr>
          <w:sz w:val="24"/>
        </w:rPr>
        <w:t>r</w:t>
      </w:r>
      <w:r w:rsidRPr="008038F9">
        <w:rPr>
          <w:sz w:val="24"/>
        </w:rPr>
        <w:t xml:space="preserve">ed </w:t>
      </w:r>
      <w:r w:rsidR="00776633">
        <w:rPr>
          <w:sz w:val="24"/>
        </w:rPr>
        <w:t>f</w:t>
      </w:r>
      <w:r w:rsidRPr="008038F9">
        <w:rPr>
          <w:sz w:val="24"/>
        </w:rPr>
        <w:t xml:space="preserve">lags? </w:t>
      </w:r>
      <w:r w:rsidRPr="008038F9">
        <w:rPr>
          <w:i/>
          <w:iCs/>
          <w:sz w:val="24"/>
        </w:rPr>
        <w:t xml:space="preserve">Contemporary Accounting Research </w:t>
      </w:r>
      <w:r w:rsidRPr="008038F9">
        <w:rPr>
          <w:sz w:val="24"/>
        </w:rPr>
        <w:t>34: 900–928</w:t>
      </w:r>
      <w:r>
        <w:t>.</w:t>
      </w:r>
    </w:p>
    <w:p w14:paraId="54611EC0" w14:textId="15B84BC9" w:rsidR="0065759C" w:rsidRDefault="0065759C" w:rsidP="0065759C">
      <w:pPr>
        <w:autoSpaceDE w:val="0"/>
        <w:autoSpaceDN w:val="0"/>
        <w:adjustRightInd w:val="0"/>
        <w:ind w:left="709" w:hanging="709"/>
        <w:jc w:val="both"/>
        <w:rPr>
          <w:rStyle w:val="HTMLCite"/>
          <w:i w:val="0"/>
        </w:rPr>
      </w:pPr>
      <w:r w:rsidRPr="00776633">
        <w:rPr>
          <w:rStyle w:val="author"/>
          <w:iCs/>
          <w:sz w:val="24"/>
        </w:rPr>
        <w:t>Li, F.</w:t>
      </w:r>
      <w:r w:rsidRPr="00776633">
        <w:rPr>
          <w:rStyle w:val="HTMLCite"/>
          <w:sz w:val="24"/>
        </w:rPr>
        <w:t xml:space="preserve"> </w:t>
      </w:r>
      <w:r w:rsidRPr="00776633">
        <w:rPr>
          <w:rStyle w:val="HTMLCite"/>
          <w:i w:val="0"/>
          <w:sz w:val="24"/>
        </w:rPr>
        <w:t>2010</w:t>
      </w:r>
      <w:r w:rsidR="008038F9" w:rsidRPr="00776633">
        <w:rPr>
          <w:rStyle w:val="HTMLCite"/>
          <w:i w:val="0"/>
          <w:sz w:val="24"/>
        </w:rPr>
        <w:t>a</w:t>
      </w:r>
      <w:r w:rsidRPr="00776633">
        <w:rPr>
          <w:rStyle w:val="HTMLCite"/>
          <w:i w:val="0"/>
          <w:sz w:val="24"/>
        </w:rPr>
        <w:t xml:space="preserve">. </w:t>
      </w:r>
      <w:r w:rsidRPr="00776633">
        <w:rPr>
          <w:rStyle w:val="articletitle"/>
          <w:iCs/>
          <w:sz w:val="24"/>
        </w:rPr>
        <w:t>Textual analysis of corporate disclosures: A Survey of the literature</w:t>
      </w:r>
      <w:r w:rsidRPr="00776633">
        <w:rPr>
          <w:rStyle w:val="HTMLCite"/>
          <w:i w:val="0"/>
          <w:sz w:val="24"/>
        </w:rPr>
        <w:t xml:space="preserve">. </w:t>
      </w:r>
      <w:r w:rsidRPr="00776633">
        <w:rPr>
          <w:rStyle w:val="journaltitle"/>
          <w:i/>
          <w:iCs/>
          <w:sz w:val="24"/>
        </w:rPr>
        <w:t>Journal of Accounting Literature</w:t>
      </w:r>
      <w:r w:rsidRPr="00776633">
        <w:rPr>
          <w:rStyle w:val="HTMLCite"/>
          <w:sz w:val="24"/>
        </w:rPr>
        <w:t xml:space="preserve"> </w:t>
      </w:r>
      <w:r w:rsidRPr="00776633">
        <w:rPr>
          <w:rStyle w:val="vol"/>
          <w:iCs/>
          <w:sz w:val="24"/>
        </w:rPr>
        <w:t>29</w:t>
      </w:r>
      <w:r w:rsidRPr="00776633">
        <w:rPr>
          <w:rStyle w:val="HTMLCite"/>
          <w:i w:val="0"/>
          <w:sz w:val="24"/>
        </w:rPr>
        <w:t>:</w:t>
      </w:r>
      <w:r w:rsidRPr="00776633">
        <w:rPr>
          <w:rStyle w:val="HTMLCite"/>
          <w:sz w:val="24"/>
        </w:rPr>
        <w:t xml:space="preserve"> </w:t>
      </w:r>
      <w:r w:rsidRPr="00776633">
        <w:rPr>
          <w:rStyle w:val="pagefirst"/>
          <w:iCs/>
          <w:sz w:val="24"/>
        </w:rPr>
        <w:t>143</w:t>
      </w:r>
      <w:r w:rsidRPr="00776633">
        <w:rPr>
          <w:rStyle w:val="HTMLCite"/>
          <w:sz w:val="24"/>
        </w:rPr>
        <w:t>–</w:t>
      </w:r>
      <w:r w:rsidRPr="00776633">
        <w:rPr>
          <w:rStyle w:val="pagelast"/>
          <w:iCs/>
          <w:sz w:val="24"/>
        </w:rPr>
        <w:t>65</w:t>
      </w:r>
      <w:r w:rsidRPr="0065759C">
        <w:rPr>
          <w:rStyle w:val="HTMLCite"/>
        </w:rPr>
        <w:t>.</w:t>
      </w:r>
    </w:p>
    <w:p w14:paraId="5F101680" w14:textId="74F520B1" w:rsidR="0065759C" w:rsidRPr="0065759C" w:rsidRDefault="0065759C" w:rsidP="0065759C">
      <w:pPr>
        <w:autoSpaceDE w:val="0"/>
        <w:autoSpaceDN w:val="0"/>
        <w:adjustRightInd w:val="0"/>
        <w:ind w:left="709" w:hanging="709"/>
        <w:jc w:val="both"/>
        <w:rPr>
          <w:rFonts w:cstheme="minorHAnsi"/>
          <w:color w:val="000000"/>
          <w:sz w:val="24"/>
          <w:szCs w:val="24"/>
        </w:rPr>
      </w:pPr>
      <w:r w:rsidRPr="0065759C">
        <w:rPr>
          <w:rFonts w:cstheme="minorHAnsi" w:hint="eastAsia"/>
          <w:color w:val="000000"/>
          <w:sz w:val="24"/>
          <w:szCs w:val="24"/>
        </w:rPr>
        <w:t xml:space="preserve">Li, F. </w:t>
      </w:r>
      <w:r>
        <w:rPr>
          <w:rFonts w:cstheme="minorHAnsi"/>
          <w:color w:val="000000"/>
          <w:sz w:val="24"/>
          <w:szCs w:val="24"/>
        </w:rPr>
        <w:t>2010b</w:t>
      </w:r>
      <w:r w:rsidR="008038F9">
        <w:rPr>
          <w:rFonts w:cstheme="minorHAnsi"/>
          <w:color w:val="000000"/>
          <w:sz w:val="24"/>
          <w:szCs w:val="24"/>
        </w:rPr>
        <w:t xml:space="preserve">. </w:t>
      </w:r>
      <w:r w:rsidRPr="0065759C">
        <w:rPr>
          <w:rFonts w:cstheme="minorHAnsi" w:hint="eastAsia"/>
          <w:color w:val="000000"/>
          <w:sz w:val="24"/>
          <w:szCs w:val="24"/>
        </w:rPr>
        <w:t xml:space="preserve">The </w:t>
      </w:r>
      <w:r w:rsidR="008038F9">
        <w:rPr>
          <w:rFonts w:cstheme="minorHAnsi"/>
          <w:color w:val="000000"/>
          <w:sz w:val="24"/>
          <w:szCs w:val="24"/>
        </w:rPr>
        <w:t>i</w:t>
      </w:r>
      <w:r w:rsidRPr="0065759C">
        <w:rPr>
          <w:rFonts w:cstheme="minorHAnsi" w:hint="eastAsia"/>
          <w:color w:val="000000"/>
          <w:sz w:val="24"/>
          <w:szCs w:val="24"/>
        </w:rPr>
        <w:t xml:space="preserve">nformation </w:t>
      </w:r>
      <w:r w:rsidR="008038F9">
        <w:rPr>
          <w:rFonts w:cstheme="minorHAnsi"/>
          <w:color w:val="000000"/>
          <w:sz w:val="24"/>
          <w:szCs w:val="24"/>
        </w:rPr>
        <w:t>c</w:t>
      </w:r>
      <w:r w:rsidRPr="0065759C">
        <w:rPr>
          <w:rFonts w:cstheme="minorHAnsi" w:hint="eastAsia"/>
          <w:color w:val="000000"/>
          <w:sz w:val="24"/>
          <w:szCs w:val="24"/>
        </w:rPr>
        <w:t xml:space="preserve">ontent of </w:t>
      </w:r>
      <w:r w:rsidR="008038F9">
        <w:rPr>
          <w:rFonts w:cstheme="minorHAnsi"/>
          <w:color w:val="000000"/>
          <w:sz w:val="24"/>
          <w:szCs w:val="24"/>
        </w:rPr>
        <w:t>f</w:t>
      </w:r>
      <w:r w:rsidRPr="0065759C">
        <w:rPr>
          <w:rFonts w:cstheme="minorHAnsi" w:hint="eastAsia"/>
          <w:color w:val="000000"/>
          <w:sz w:val="24"/>
          <w:szCs w:val="24"/>
        </w:rPr>
        <w:t>orward</w:t>
      </w:r>
      <w:r w:rsidR="008038F9">
        <w:rPr>
          <w:rFonts w:cstheme="minorHAnsi"/>
          <w:color w:val="000000"/>
          <w:sz w:val="24"/>
          <w:szCs w:val="24"/>
        </w:rPr>
        <w:t>-l</w:t>
      </w:r>
      <w:r w:rsidRPr="0065759C">
        <w:rPr>
          <w:rFonts w:cstheme="minorHAnsi" w:hint="eastAsia"/>
          <w:color w:val="000000"/>
          <w:sz w:val="24"/>
          <w:szCs w:val="24"/>
        </w:rPr>
        <w:t xml:space="preserve">ooking </w:t>
      </w:r>
      <w:r w:rsidR="008038F9">
        <w:rPr>
          <w:rFonts w:cstheme="minorHAnsi"/>
          <w:color w:val="000000"/>
          <w:sz w:val="24"/>
          <w:szCs w:val="24"/>
        </w:rPr>
        <w:t>s</w:t>
      </w:r>
      <w:r w:rsidRPr="0065759C">
        <w:rPr>
          <w:rFonts w:cstheme="minorHAnsi" w:hint="eastAsia"/>
          <w:color w:val="000000"/>
          <w:sz w:val="24"/>
          <w:szCs w:val="24"/>
        </w:rPr>
        <w:t xml:space="preserve">tatements in </w:t>
      </w:r>
      <w:r w:rsidR="008038F9">
        <w:rPr>
          <w:rFonts w:cstheme="minorHAnsi"/>
          <w:color w:val="000000"/>
          <w:sz w:val="24"/>
          <w:szCs w:val="24"/>
        </w:rPr>
        <w:t>c</w:t>
      </w:r>
      <w:r w:rsidRPr="0065759C">
        <w:rPr>
          <w:rFonts w:cstheme="minorHAnsi" w:hint="eastAsia"/>
          <w:color w:val="000000"/>
          <w:sz w:val="24"/>
          <w:szCs w:val="24"/>
        </w:rPr>
        <w:t xml:space="preserve">orporate </w:t>
      </w:r>
      <w:r w:rsidR="008038F9">
        <w:rPr>
          <w:rFonts w:cstheme="minorHAnsi"/>
          <w:color w:val="000000"/>
          <w:sz w:val="24"/>
          <w:szCs w:val="24"/>
        </w:rPr>
        <w:t>f</w:t>
      </w:r>
      <w:r w:rsidRPr="0065759C">
        <w:rPr>
          <w:rFonts w:cstheme="minorHAnsi" w:hint="eastAsia"/>
          <w:color w:val="000000"/>
          <w:sz w:val="24"/>
          <w:szCs w:val="24"/>
        </w:rPr>
        <w:t>ilings</w:t>
      </w:r>
      <w:r w:rsidR="008038F9">
        <w:rPr>
          <w:rFonts w:cstheme="minorHAnsi" w:hint="eastAsia"/>
          <w:color w:val="000000"/>
          <w:sz w:val="24"/>
          <w:szCs w:val="24"/>
        </w:rPr>
        <w:t>:</w:t>
      </w:r>
      <w:r w:rsidR="008038F9">
        <w:rPr>
          <w:rFonts w:cstheme="minorHAnsi"/>
          <w:color w:val="000000"/>
          <w:sz w:val="24"/>
          <w:szCs w:val="24"/>
        </w:rPr>
        <w:t xml:space="preserve"> </w:t>
      </w:r>
      <w:r w:rsidRPr="0065759C">
        <w:rPr>
          <w:rFonts w:cstheme="minorHAnsi" w:hint="eastAsia"/>
          <w:color w:val="000000"/>
          <w:sz w:val="24"/>
          <w:szCs w:val="24"/>
        </w:rPr>
        <w:t xml:space="preserve">A </w:t>
      </w:r>
      <w:r w:rsidR="008038F9">
        <w:rPr>
          <w:rFonts w:cstheme="minorHAnsi"/>
          <w:color w:val="000000"/>
          <w:sz w:val="24"/>
          <w:szCs w:val="24"/>
        </w:rPr>
        <w:t>n</w:t>
      </w:r>
      <w:r w:rsidRPr="0065759C">
        <w:rPr>
          <w:rFonts w:cstheme="minorHAnsi" w:hint="eastAsia"/>
          <w:color w:val="000000"/>
          <w:sz w:val="24"/>
          <w:szCs w:val="24"/>
        </w:rPr>
        <w:t xml:space="preserve">aïve Bayesian </w:t>
      </w:r>
      <w:r w:rsidR="008038F9">
        <w:rPr>
          <w:rFonts w:cstheme="minorHAnsi"/>
          <w:color w:val="000000"/>
          <w:sz w:val="24"/>
          <w:szCs w:val="24"/>
        </w:rPr>
        <w:t>m</w:t>
      </w:r>
      <w:r w:rsidRPr="0065759C">
        <w:rPr>
          <w:rFonts w:cstheme="minorHAnsi" w:hint="eastAsia"/>
          <w:color w:val="000000"/>
          <w:sz w:val="24"/>
          <w:szCs w:val="24"/>
        </w:rPr>
        <w:t xml:space="preserve">achine </w:t>
      </w:r>
      <w:r w:rsidR="008038F9">
        <w:rPr>
          <w:rFonts w:cstheme="minorHAnsi"/>
          <w:color w:val="000000"/>
          <w:sz w:val="24"/>
          <w:szCs w:val="24"/>
        </w:rPr>
        <w:t>l</w:t>
      </w:r>
      <w:r w:rsidRPr="0065759C">
        <w:rPr>
          <w:rFonts w:cstheme="minorHAnsi" w:hint="eastAsia"/>
          <w:color w:val="000000"/>
          <w:sz w:val="24"/>
          <w:szCs w:val="24"/>
        </w:rPr>
        <w:t xml:space="preserve">earning </w:t>
      </w:r>
      <w:r w:rsidR="008038F9">
        <w:rPr>
          <w:rFonts w:cstheme="minorHAnsi"/>
          <w:color w:val="000000"/>
          <w:sz w:val="24"/>
          <w:szCs w:val="24"/>
        </w:rPr>
        <w:t>a</w:t>
      </w:r>
      <w:r w:rsidRPr="0065759C">
        <w:rPr>
          <w:rFonts w:cstheme="minorHAnsi" w:hint="eastAsia"/>
          <w:color w:val="000000"/>
          <w:sz w:val="24"/>
          <w:szCs w:val="24"/>
        </w:rPr>
        <w:t xml:space="preserve">pproach. </w:t>
      </w:r>
      <w:r w:rsidRPr="008038F9">
        <w:rPr>
          <w:rFonts w:cstheme="minorHAnsi" w:hint="eastAsia"/>
          <w:i/>
          <w:color w:val="000000"/>
          <w:sz w:val="24"/>
          <w:szCs w:val="24"/>
        </w:rPr>
        <w:t>Journal of Accounting Research</w:t>
      </w:r>
      <w:r w:rsidRPr="0065759C">
        <w:rPr>
          <w:rFonts w:cstheme="minorHAnsi" w:hint="eastAsia"/>
          <w:color w:val="000000"/>
          <w:sz w:val="24"/>
          <w:szCs w:val="24"/>
        </w:rPr>
        <w:t xml:space="preserve"> 48: 1049</w:t>
      </w:r>
      <w:r w:rsidRPr="0065759C">
        <w:rPr>
          <w:rFonts w:cstheme="minorHAnsi" w:hint="eastAsia"/>
          <w:color w:val="000000"/>
          <w:sz w:val="24"/>
          <w:szCs w:val="24"/>
        </w:rPr>
        <w:t>–</w:t>
      </w:r>
      <w:r w:rsidRPr="0065759C">
        <w:rPr>
          <w:rFonts w:cstheme="minorHAnsi" w:hint="eastAsia"/>
          <w:color w:val="000000"/>
          <w:sz w:val="24"/>
          <w:szCs w:val="24"/>
        </w:rPr>
        <w:t>102.</w:t>
      </w:r>
    </w:p>
    <w:p w14:paraId="7615055A" w14:textId="4AE445D5" w:rsidR="0065759C" w:rsidRDefault="0065759C" w:rsidP="0065759C">
      <w:pPr>
        <w:autoSpaceDE w:val="0"/>
        <w:autoSpaceDN w:val="0"/>
        <w:adjustRightInd w:val="0"/>
        <w:ind w:left="709" w:hanging="709"/>
        <w:jc w:val="both"/>
        <w:rPr>
          <w:rFonts w:cstheme="minorHAnsi"/>
          <w:sz w:val="24"/>
          <w:szCs w:val="24"/>
        </w:rPr>
      </w:pPr>
      <w:r>
        <w:rPr>
          <w:rFonts w:cstheme="minorHAnsi"/>
          <w:sz w:val="24"/>
          <w:szCs w:val="24"/>
        </w:rPr>
        <w:t>Li, N. 2018. Do greater shareholder voting rights reduce expropriation? Evidence from related party transactions. Working paper, Columbia University.</w:t>
      </w:r>
    </w:p>
    <w:p w14:paraId="3257CE34" w14:textId="0227522F" w:rsidR="00CA27FD" w:rsidRDefault="00C968C9" w:rsidP="0065759C">
      <w:pPr>
        <w:autoSpaceDE w:val="0"/>
        <w:autoSpaceDN w:val="0"/>
        <w:adjustRightInd w:val="0"/>
        <w:ind w:left="709" w:hanging="709"/>
        <w:jc w:val="both"/>
        <w:rPr>
          <w:sz w:val="24"/>
        </w:rPr>
      </w:pPr>
      <w:r>
        <w:rPr>
          <w:rFonts w:hint="eastAsia"/>
          <w:sz w:val="24"/>
        </w:rPr>
        <w:t>Loughran, T</w:t>
      </w:r>
      <w:r>
        <w:rPr>
          <w:sz w:val="24"/>
        </w:rPr>
        <w:t>.</w:t>
      </w:r>
      <w:r>
        <w:rPr>
          <w:rFonts w:hint="eastAsia"/>
          <w:sz w:val="24"/>
        </w:rPr>
        <w:t>, and B</w:t>
      </w:r>
      <w:r>
        <w:rPr>
          <w:sz w:val="24"/>
        </w:rPr>
        <w:t>.</w:t>
      </w:r>
      <w:r w:rsidR="00CA27FD" w:rsidRPr="00CA27FD">
        <w:rPr>
          <w:rFonts w:hint="eastAsia"/>
          <w:sz w:val="24"/>
        </w:rPr>
        <w:t xml:space="preserve"> McDonald. "When is a liability not a liability? Textual analysis, dictionaries, and 10</w:t>
      </w:r>
      <w:r w:rsidR="00CA27FD" w:rsidRPr="00CA27FD">
        <w:rPr>
          <w:rFonts w:hint="eastAsia"/>
          <w:sz w:val="24"/>
        </w:rPr>
        <w:t>‐</w:t>
      </w:r>
      <w:r w:rsidR="00CA27FD" w:rsidRPr="00CA27FD">
        <w:rPr>
          <w:rFonts w:hint="eastAsia"/>
          <w:sz w:val="24"/>
        </w:rPr>
        <w:t xml:space="preserve">Ks." </w:t>
      </w:r>
      <w:r w:rsidR="00CA27FD" w:rsidRPr="0057453C">
        <w:rPr>
          <w:i/>
          <w:sz w:val="24"/>
        </w:rPr>
        <w:t>The Journal of Finance</w:t>
      </w:r>
      <w:r w:rsidR="00CA27FD" w:rsidRPr="00CA27FD">
        <w:rPr>
          <w:rFonts w:hint="eastAsia"/>
          <w:sz w:val="24"/>
        </w:rPr>
        <w:t xml:space="preserve"> 66, no. 1 (2011): 35-65.</w:t>
      </w:r>
    </w:p>
    <w:p w14:paraId="24607DC9" w14:textId="389B8C88" w:rsidR="008B409D" w:rsidRDefault="0065759C" w:rsidP="0065759C">
      <w:pPr>
        <w:autoSpaceDE w:val="0"/>
        <w:autoSpaceDN w:val="0"/>
        <w:adjustRightInd w:val="0"/>
        <w:ind w:left="709" w:hanging="709"/>
        <w:jc w:val="both"/>
        <w:rPr>
          <w:sz w:val="24"/>
        </w:rPr>
      </w:pPr>
      <w:r>
        <w:rPr>
          <w:sz w:val="24"/>
        </w:rPr>
        <w:t xml:space="preserve">Loughran, T., and B. McDonald. 2016. Textual analysis in accounting and finance: A survey. </w:t>
      </w:r>
      <w:r w:rsidRPr="0065759C">
        <w:rPr>
          <w:i/>
          <w:sz w:val="24"/>
        </w:rPr>
        <w:t>Journal of Accounting Research</w:t>
      </w:r>
      <w:r>
        <w:rPr>
          <w:sz w:val="24"/>
        </w:rPr>
        <w:t xml:space="preserve"> 54, 1187-1230.</w:t>
      </w:r>
    </w:p>
    <w:p w14:paraId="426B1D3D" w14:textId="44B4E3DA" w:rsidR="008038F9" w:rsidRDefault="008038F9" w:rsidP="0065759C">
      <w:pPr>
        <w:autoSpaceDE w:val="0"/>
        <w:autoSpaceDN w:val="0"/>
        <w:adjustRightInd w:val="0"/>
        <w:ind w:left="709" w:hanging="709"/>
        <w:jc w:val="both"/>
        <w:rPr>
          <w:sz w:val="24"/>
        </w:rPr>
      </w:pPr>
      <w:r w:rsidRPr="008038F9">
        <w:rPr>
          <w:sz w:val="24"/>
        </w:rPr>
        <w:t xml:space="preserve">Rennekamp, K. </w:t>
      </w:r>
      <w:r>
        <w:rPr>
          <w:sz w:val="24"/>
        </w:rPr>
        <w:t xml:space="preserve">2012. </w:t>
      </w:r>
      <w:r w:rsidRPr="008038F9">
        <w:rPr>
          <w:sz w:val="24"/>
        </w:rPr>
        <w:t xml:space="preserve">Processing </w:t>
      </w:r>
      <w:r>
        <w:rPr>
          <w:sz w:val="24"/>
        </w:rPr>
        <w:t>f</w:t>
      </w:r>
      <w:r w:rsidRPr="008038F9">
        <w:rPr>
          <w:sz w:val="24"/>
        </w:rPr>
        <w:t xml:space="preserve">luency and </w:t>
      </w:r>
      <w:r>
        <w:rPr>
          <w:sz w:val="24"/>
        </w:rPr>
        <w:t>i</w:t>
      </w:r>
      <w:r w:rsidRPr="008038F9">
        <w:rPr>
          <w:sz w:val="24"/>
        </w:rPr>
        <w:t xml:space="preserve">nvestors’ </w:t>
      </w:r>
      <w:r>
        <w:rPr>
          <w:sz w:val="24"/>
        </w:rPr>
        <w:t>r</w:t>
      </w:r>
      <w:r w:rsidRPr="008038F9">
        <w:rPr>
          <w:sz w:val="24"/>
        </w:rPr>
        <w:t xml:space="preserve">eactions to </w:t>
      </w:r>
      <w:r>
        <w:rPr>
          <w:sz w:val="24"/>
        </w:rPr>
        <w:t>d</w:t>
      </w:r>
      <w:r w:rsidRPr="008038F9">
        <w:rPr>
          <w:sz w:val="24"/>
        </w:rPr>
        <w:t xml:space="preserve">isclosure </w:t>
      </w:r>
      <w:r>
        <w:rPr>
          <w:sz w:val="24"/>
        </w:rPr>
        <w:t>r</w:t>
      </w:r>
      <w:r w:rsidRPr="008038F9">
        <w:rPr>
          <w:sz w:val="24"/>
        </w:rPr>
        <w:t>eadability.</w:t>
      </w:r>
      <w:r>
        <w:rPr>
          <w:sz w:val="24"/>
        </w:rPr>
        <w:t xml:space="preserve"> </w:t>
      </w:r>
      <w:r w:rsidRPr="008038F9">
        <w:rPr>
          <w:i/>
          <w:sz w:val="24"/>
        </w:rPr>
        <w:t>Journal of Accounting Research</w:t>
      </w:r>
      <w:r w:rsidRPr="008038F9">
        <w:rPr>
          <w:sz w:val="24"/>
        </w:rPr>
        <w:t xml:space="preserve"> 50: 1319–54.</w:t>
      </w:r>
    </w:p>
    <w:p w14:paraId="6A95FAE8" w14:textId="77777777" w:rsidR="008038F9" w:rsidRDefault="008038F9" w:rsidP="0065759C">
      <w:pPr>
        <w:autoSpaceDE w:val="0"/>
        <w:autoSpaceDN w:val="0"/>
        <w:adjustRightInd w:val="0"/>
        <w:ind w:left="709" w:hanging="709"/>
        <w:jc w:val="both"/>
        <w:rPr>
          <w:sz w:val="24"/>
        </w:rPr>
      </w:pPr>
    </w:p>
    <w:p w14:paraId="600E255A" w14:textId="77777777" w:rsidR="0065759C" w:rsidRDefault="0065759C" w:rsidP="0065759C">
      <w:pPr>
        <w:autoSpaceDE w:val="0"/>
        <w:autoSpaceDN w:val="0"/>
        <w:adjustRightInd w:val="0"/>
        <w:ind w:left="709" w:hanging="709"/>
        <w:jc w:val="both"/>
        <w:rPr>
          <w:sz w:val="24"/>
        </w:rPr>
      </w:pPr>
    </w:p>
    <w:p w14:paraId="039E1F2A" w14:textId="77777777" w:rsidR="008D7980" w:rsidRDefault="008D7980" w:rsidP="00E60E8A">
      <w:pPr>
        <w:spacing w:line="480" w:lineRule="auto"/>
        <w:jc w:val="both"/>
        <w:rPr>
          <w:sz w:val="24"/>
        </w:rPr>
      </w:pPr>
    </w:p>
    <w:p w14:paraId="75E3F0F3" w14:textId="77777777" w:rsidR="008D7980" w:rsidRDefault="008D7980">
      <w:pPr>
        <w:jc w:val="both"/>
        <w:rPr>
          <w:sz w:val="24"/>
        </w:rPr>
      </w:pPr>
      <w:r>
        <w:rPr>
          <w:sz w:val="24"/>
        </w:rPr>
        <w:lastRenderedPageBreak/>
        <w:br w:type="page"/>
      </w:r>
    </w:p>
    <w:p w14:paraId="322CC215" w14:textId="6181FEB2" w:rsidR="008D7980" w:rsidRPr="00054D27" w:rsidRDefault="008D7980" w:rsidP="00E60E8A">
      <w:pPr>
        <w:spacing w:line="480" w:lineRule="auto"/>
        <w:jc w:val="both"/>
        <w:rPr>
          <w:b/>
          <w:sz w:val="24"/>
        </w:rPr>
      </w:pPr>
      <w:r w:rsidRPr="00054D27">
        <w:rPr>
          <w:b/>
          <w:sz w:val="24"/>
        </w:rPr>
        <w:lastRenderedPageBreak/>
        <w:t xml:space="preserve">Appendix A. </w:t>
      </w:r>
      <w:r w:rsidR="00274E14">
        <w:rPr>
          <w:b/>
          <w:sz w:val="24"/>
        </w:rPr>
        <w:t xml:space="preserve">Regulation on </w:t>
      </w:r>
      <w:r w:rsidRPr="00054D27">
        <w:rPr>
          <w:b/>
          <w:sz w:val="24"/>
        </w:rPr>
        <w:t>Related Party Transactions</w:t>
      </w:r>
      <w:r w:rsidR="00274E14">
        <w:rPr>
          <w:b/>
          <w:sz w:val="24"/>
        </w:rPr>
        <w:t xml:space="preserve"> </w:t>
      </w:r>
    </w:p>
    <w:p w14:paraId="0B7FA504" w14:textId="6AD7A4EF" w:rsidR="00274E14" w:rsidRDefault="00274E14" w:rsidP="00274E14">
      <w:pPr>
        <w:pStyle w:val="Default"/>
        <w:rPr>
          <w:b/>
          <w:bCs/>
          <w:sz w:val="23"/>
          <w:szCs w:val="23"/>
        </w:rPr>
      </w:pPr>
      <w:r>
        <w:rPr>
          <w:b/>
          <w:bCs/>
          <w:sz w:val="23"/>
          <w:szCs w:val="23"/>
        </w:rPr>
        <w:t xml:space="preserve">A1. </w:t>
      </w:r>
      <w:r w:rsidR="001E0CFF">
        <w:rPr>
          <w:b/>
          <w:bCs/>
          <w:sz w:val="23"/>
          <w:szCs w:val="23"/>
        </w:rPr>
        <w:t>SEBI Listing Obligations and Disclosure Requirements Regulations 2015</w:t>
      </w:r>
    </w:p>
    <w:p w14:paraId="4ABD9DF2" w14:textId="77777777" w:rsidR="00274E14" w:rsidRDefault="00274E14" w:rsidP="00274E14">
      <w:pPr>
        <w:pStyle w:val="Default"/>
        <w:rPr>
          <w:b/>
          <w:bCs/>
          <w:sz w:val="23"/>
          <w:szCs w:val="23"/>
        </w:rPr>
      </w:pPr>
    </w:p>
    <w:p w14:paraId="3C2437CA" w14:textId="3AEA54A2" w:rsidR="00274E14" w:rsidRDefault="00274E14" w:rsidP="00274E14">
      <w:pPr>
        <w:pStyle w:val="Default"/>
        <w:rPr>
          <w:sz w:val="23"/>
          <w:szCs w:val="23"/>
        </w:rPr>
      </w:pPr>
      <w:r>
        <w:rPr>
          <w:b/>
          <w:bCs/>
          <w:sz w:val="23"/>
          <w:szCs w:val="23"/>
        </w:rPr>
        <w:t xml:space="preserve">Related party transactions. </w:t>
      </w:r>
    </w:p>
    <w:p w14:paraId="547D1DD1" w14:textId="38E01447" w:rsidR="00274E14" w:rsidRDefault="00274E14" w:rsidP="00274E14">
      <w:pPr>
        <w:pStyle w:val="Default"/>
        <w:ind w:left="284" w:hanging="284"/>
        <w:rPr>
          <w:sz w:val="23"/>
          <w:szCs w:val="23"/>
        </w:rPr>
      </w:pPr>
      <w:r>
        <w:rPr>
          <w:b/>
          <w:bCs/>
          <w:sz w:val="23"/>
          <w:szCs w:val="23"/>
        </w:rPr>
        <w:t xml:space="preserve">23. </w:t>
      </w:r>
      <w:r>
        <w:rPr>
          <w:sz w:val="23"/>
          <w:szCs w:val="23"/>
        </w:rPr>
        <w:t>(1)The listed entity shall formulate a policy on materiality of related party</w:t>
      </w:r>
      <w:r w:rsidR="000D1F73">
        <w:rPr>
          <w:sz w:val="23"/>
          <w:szCs w:val="23"/>
        </w:rPr>
        <w:t xml:space="preserve"> </w:t>
      </w:r>
      <w:r>
        <w:rPr>
          <w:sz w:val="23"/>
          <w:szCs w:val="23"/>
        </w:rPr>
        <w:t xml:space="preserve">transactions and on dealing with related party transactions: </w:t>
      </w:r>
    </w:p>
    <w:p w14:paraId="5EEDC82B" w14:textId="77777777" w:rsidR="00274E14" w:rsidRDefault="00274E14" w:rsidP="00274E14">
      <w:pPr>
        <w:pStyle w:val="Default"/>
        <w:rPr>
          <w:sz w:val="23"/>
          <w:szCs w:val="23"/>
        </w:rPr>
      </w:pPr>
    </w:p>
    <w:p w14:paraId="63251361" w14:textId="77777777" w:rsidR="00274E14" w:rsidRDefault="00274E14" w:rsidP="00274E14">
      <w:pPr>
        <w:pStyle w:val="Default"/>
        <w:ind w:left="284"/>
        <w:rPr>
          <w:sz w:val="23"/>
          <w:szCs w:val="23"/>
        </w:rPr>
      </w:pPr>
      <w:r>
        <w:rPr>
          <w:sz w:val="23"/>
          <w:szCs w:val="23"/>
        </w:rPr>
        <w:t xml:space="preserve">Explanation.- A transaction with a related party shall be considered material if the transaction(s) to be entered into individually or taken together with previous transactions during a financial year, exceeds ten percent of the annual consolidated turnover of the listed entity as per the last audited financial statements of the listed entity. </w:t>
      </w:r>
    </w:p>
    <w:p w14:paraId="20655073" w14:textId="77777777" w:rsidR="00274E14" w:rsidRDefault="00274E14" w:rsidP="00274E14">
      <w:pPr>
        <w:pStyle w:val="Default"/>
        <w:rPr>
          <w:sz w:val="23"/>
          <w:szCs w:val="23"/>
        </w:rPr>
      </w:pPr>
      <w:r>
        <w:rPr>
          <w:sz w:val="23"/>
          <w:szCs w:val="23"/>
        </w:rPr>
        <w:t xml:space="preserve">(2) All related party transactions shall require prior approval of the audit committee. </w:t>
      </w:r>
    </w:p>
    <w:p w14:paraId="69CC07F1" w14:textId="77777777" w:rsidR="00274E14" w:rsidRDefault="00274E14" w:rsidP="00274E14">
      <w:pPr>
        <w:pStyle w:val="Default"/>
        <w:rPr>
          <w:sz w:val="23"/>
          <w:szCs w:val="23"/>
        </w:rPr>
      </w:pPr>
    </w:p>
    <w:p w14:paraId="5359A348" w14:textId="77777777" w:rsidR="00274E14" w:rsidRDefault="00274E14" w:rsidP="00274E14">
      <w:pPr>
        <w:pStyle w:val="Default"/>
        <w:ind w:left="284" w:hanging="284"/>
        <w:rPr>
          <w:sz w:val="23"/>
          <w:szCs w:val="23"/>
        </w:rPr>
      </w:pPr>
      <w:r>
        <w:rPr>
          <w:sz w:val="23"/>
          <w:szCs w:val="23"/>
        </w:rPr>
        <w:t xml:space="preserve">(3) Audit committee may grant omnibus approval for related party transactions proposed to be entered into by the listed entity subject to the following conditions, namely- </w:t>
      </w:r>
    </w:p>
    <w:p w14:paraId="30D9EF3A" w14:textId="77777777" w:rsidR="00274E14" w:rsidRDefault="00274E14" w:rsidP="00274E14">
      <w:pPr>
        <w:pStyle w:val="Default"/>
        <w:rPr>
          <w:sz w:val="23"/>
          <w:szCs w:val="23"/>
        </w:rPr>
      </w:pPr>
    </w:p>
    <w:p w14:paraId="33BB5764" w14:textId="77777777" w:rsidR="00274E14" w:rsidRDefault="00274E14" w:rsidP="00274E14">
      <w:pPr>
        <w:pStyle w:val="Default"/>
        <w:spacing w:after="27"/>
        <w:ind w:left="567" w:hanging="283"/>
        <w:rPr>
          <w:sz w:val="23"/>
          <w:szCs w:val="23"/>
        </w:rPr>
      </w:pPr>
      <w:r>
        <w:rPr>
          <w:sz w:val="23"/>
          <w:szCs w:val="23"/>
        </w:rPr>
        <w:t xml:space="preserve">(a) the audit committee shall lay down the criteria for granting the omnibus approval in line with the policy on related party transactions of the listed entity and such approval shall be applicable in respect of transactions which are repetitive in nature; </w:t>
      </w:r>
    </w:p>
    <w:p w14:paraId="35147092" w14:textId="77777777" w:rsidR="00274E14" w:rsidRDefault="00274E14" w:rsidP="00274E14">
      <w:pPr>
        <w:pStyle w:val="Default"/>
        <w:spacing w:after="27"/>
        <w:ind w:left="567" w:hanging="283"/>
        <w:rPr>
          <w:sz w:val="23"/>
          <w:szCs w:val="23"/>
        </w:rPr>
      </w:pPr>
      <w:r>
        <w:rPr>
          <w:sz w:val="23"/>
          <w:szCs w:val="23"/>
        </w:rPr>
        <w:t xml:space="preserve">(b) the audit committee shall satisfy itself regarding the need for such omnibus approval and that such approval is in the interest of the listed entity; </w:t>
      </w:r>
    </w:p>
    <w:p w14:paraId="6C2F5153" w14:textId="77777777" w:rsidR="00274E14" w:rsidRDefault="00274E14" w:rsidP="00274E14">
      <w:pPr>
        <w:pStyle w:val="Default"/>
        <w:spacing w:after="27"/>
        <w:ind w:left="567" w:hanging="283"/>
        <w:rPr>
          <w:sz w:val="23"/>
          <w:szCs w:val="23"/>
        </w:rPr>
      </w:pPr>
      <w:r>
        <w:rPr>
          <w:sz w:val="23"/>
          <w:szCs w:val="23"/>
        </w:rPr>
        <w:t xml:space="preserve">(c) the omnibus approval shall specify: </w:t>
      </w:r>
    </w:p>
    <w:p w14:paraId="6E4FD782" w14:textId="77777777" w:rsidR="00274E14" w:rsidRDefault="00274E14" w:rsidP="00274E14">
      <w:pPr>
        <w:pStyle w:val="Default"/>
        <w:spacing w:after="27"/>
        <w:ind w:left="851" w:hanging="284"/>
        <w:rPr>
          <w:sz w:val="23"/>
          <w:szCs w:val="23"/>
        </w:rPr>
      </w:pPr>
      <w:r>
        <w:rPr>
          <w:sz w:val="23"/>
          <w:szCs w:val="23"/>
        </w:rPr>
        <w:t xml:space="preserve">(i) the name(s) of the related party, nature of transaction, period of transaction, maximum amount of transactions that shall be entered into, </w:t>
      </w:r>
    </w:p>
    <w:p w14:paraId="080B87E6" w14:textId="77777777" w:rsidR="00274E14" w:rsidRDefault="00274E14" w:rsidP="00274E14">
      <w:pPr>
        <w:pStyle w:val="Default"/>
        <w:spacing w:after="27"/>
        <w:ind w:left="851" w:hanging="284"/>
        <w:rPr>
          <w:sz w:val="23"/>
          <w:szCs w:val="23"/>
        </w:rPr>
      </w:pPr>
      <w:r>
        <w:rPr>
          <w:sz w:val="23"/>
          <w:szCs w:val="23"/>
        </w:rPr>
        <w:t xml:space="preserve">(ii) the indicative base price / current contracted price and the formula for variation in the price if any; and </w:t>
      </w:r>
    </w:p>
    <w:p w14:paraId="3D6924CC" w14:textId="77777777" w:rsidR="00274E14" w:rsidRDefault="00274E14" w:rsidP="00274E14">
      <w:pPr>
        <w:pStyle w:val="Default"/>
        <w:ind w:left="851" w:hanging="284"/>
        <w:rPr>
          <w:sz w:val="23"/>
          <w:szCs w:val="23"/>
        </w:rPr>
      </w:pPr>
      <w:r>
        <w:rPr>
          <w:sz w:val="23"/>
          <w:szCs w:val="23"/>
        </w:rPr>
        <w:t xml:space="preserve">(iii) such other conditions as the audit committee may deem fit: </w:t>
      </w:r>
    </w:p>
    <w:p w14:paraId="1F08BE4E" w14:textId="77777777" w:rsidR="00274E14" w:rsidRDefault="00274E14" w:rsidP="00274E14">
      <w:pPr>
        <w:pStyle w:val="Default"/>
        <w:ind w:left="851" w:hanging="284"/>
        <w:rPr>
          <w:sz w:val="23"/>
          <w:szCs w:val="23"/>
        </w:rPr>
      </w:pPr>
      <w:r>
        <w:rPr>
          <w:sz w:val="23"/>
          <w:szCs w:val="23"/>
        </w:rPr>
        <w:t xml:space="preserve">Provided that where the need for related party transaction cannot be foreseen and aforesaid details are not available, audit committee may grant omnibus approval for such transactions subject to their value not exceeding rupees one crore per transaction. </w:t>
      </w:r>
    </w:p>
    <w:p w14:paraId="2D797B1F" w14:textId="1800BCED" w:rsidR="00274E14" w:rsidRDefault="00274E14" w:rsidP="00274E14">
      <w:pPr>
        <w:pStyle w:val="Default"/>
        <w:spacing w:after="27"/>
        <w:ind w:left="567" w:hanging="283"/>
        <w:rPr>
          <w:sz w:val="23"/>
          <w:szCs w:val="23"/>
        </w:rPr>
      </w:pPr>
      <w:r>
        <w:rPr>
          <w:sz w:val="23"/>
          <w:szCs w:val="23"/>
        </w:rPr>
        <w:t>(d) the audit committee shall review, at</w:t>
      </w:r>
      <w:r w:rsidR="00D91A72">
        <w:rPr>
          <w:sz w:val="23"/>
          <w:szCs w:val="23"/>
        </w:rPr>
        <w:t xml:space="preserve"> </w:t>
      </w:r>
      <w:r>
        <w:rPr>
          <w:sz w:val="23"/>
          <w:szCs w:val="23"/>
        </w:rPr>
        <w:t xml:space="preserve">least on a quarterly basis, the details of related party transactions entered into by the listed entity pursuant to each of the omnibus approvals given. </w:t>
      </w:r>
    </w:p>
    <w:p w14:paraId="3728B7C0" w14:textId="6DA47E4F" w:rsidR="00274E14" w:rsidRDefault="00274E14" w:rsidP="00274E14">
      <w:pPr>
        <w:pStyle w:val="Default"/>
        <w:spacing w:after="27"/>
        <w:ind w:left="567" w:hanging="283"/>
        <w:rPr>
          <w:sz w:val="23"/>
          <w:szCs w:val="23"/>
        </w:rPr>
      </w:pPr>
      <w:r>
        <w:rPr>
          <w:sz w:val="23"/>
          <w:szCs w:val="23"/>
        </w:rPr>
        <w:t xml:space="preserve">(e) Such omnibus approvals shall be valid for a period not exceeding one year and shall require fresh approvals after the expiry of one year: </w:t>
      </w:r>
    </w:p>
    <w:p w14:paraId="301E09F5" w14:textId="77777777" w:rsidR="00274E14" w:rsidRDefault="00274E14" w:rsidP="00274E14">
      <w:pPr>
        <w:pStyle w:val="Default"/>
        <w:rPr>
          <w:sz w:val="23"/>
          <w:szCs w:val="23"/>
        </w:rPr>
      </w:pPr>
    </w:p>
    <w:p w14:paraId="0B70C13E" w14:textId="77777777" w:rsidR="00274E14" w:rsidRDefault="00274E14" w:rsidP="00274E14">
      <w:pPr>
        <w:pStyle w:val="Default"/>
        <w:ind w:left="284" w:hanging="284"/>
        <w:rPr>
          <w:sz w:val="23"/>
          <w:szCs w:val="23"/>
        </w:rPr>
      </w:pPr>
      <w:r>
        <w:rPr>
          <w:sz w:val="23"/>
          <w:szCs w:val="23"/>
        </w:rPr>
        <w:t xml:space="preserve">(4) All material related party transactions shall require approval of the shareholders through resolution and the related parties shall abstain from voting on such resolutions whether the entity is a related party to the particular transaction or not. </w:t>
      </w:r>
    </w:p>
    <w:p w14:paraId="7FB214B4" w14:textId="77777777" w:rsidR="00274E14" w:rsidRDefault="00274E14" w:rsidP="00274E14">
      <w:pPr>
        <w:pStyle w:val="Default"/>
        <w:rPr>
          <w:sz w:val="23"/>
          <w:szCs w:val="23"/>
        </w:rPr>
      </w:pPr>
    </w:p>
    <w:p w14:paraId="6DD12B88" w14:textId="77777777" w:rsidR="00274E14" w:rsidRDefault="00274E14" w:rsidP="00274E14">
      <w:pPr>
        <w:pStyle w:val="Default"/>
        <w:ind w:left="284" w:hanging="284"/>
        <w:rPr>
          <w:sz w:val="23"/>
          <w:szCs w:val="23"/>
        </w:rPr>
      </w:pPr>
      <w:r>
        <w:rPr>
          <w:sz w:val="23"/>
          <w:szCs w:val="23"/>
        </w:rPr>
        <w:t xml:space="preserve">(5) The provisions of sub-regulations (2), (3) and (4) shall not be applicable in the following cases: </w:t>
      </w:r>
    </w:p>
    <w:p w14:paraId="0C800136" w14:textId="77777777" w:rsidR="00274E14" w:rsidRDefault="00274E14" w:rsidP="00274E14">
      <w:pPr>
        <w:pStyle w:val="Default"/>
        <w:spacing w:after="27"/>
        <w:ind w:left="567" w:hanging="283"/>
        <w:rPr>
          <w:sz w:val="23"/>
          <w:szCs w:val="23"/>
        </w:rPr>
      </w:pPr>
      <w:r>
        <w:rPr>
          <w:sz w:val="23"/>
          <w:szCs w:val="23"/>
        </w:rPr>
        <w:t xml:space="preserve">(a) transactions entered into between two government companies; </w:t>
      </w:r>
    </w:p>
    <w:p w14:paraId="25BB3163" w14:textId="77777777" w:rsidR="00274E14" w:rsidRDefault="00274E14" w:rsidP="00274E14">
      <w:pPr>
        <w:pStyle w:val="Default"/>
        <w:spacing w:after="27"/>
        <w:ind w:left="567" w:hanging="283"/>
        <w:rPr>
          <w:sz w:val="23"/>
          <w:szCs w:val="23"/>
        </w:rPr>
      </w:pPr>
      <w:r>
        <w:rPr>
          <w:sz w:val="23"/>
          <w:szCs w:val="23"/>
        </w:rPr>
        <w:t xml:space="preserve">(b) transactions entered into between a holding company and its wholly owned subsidiary whose accounts are consolidated with such holding company and placed before the shareholders at the general meeting for approval. </w:t>
      </w:r>
    </w:p>
    <w:p w14:paraId="6E640A28" w14:textId="77777777" w:rsidR="00274E14" w:rsidRDefault="00274E14" w:rsidP="00274E14">
      <w:pPr>
        <w:pStyle w:val="Default"/>
        <w:ind w:left="284"/>
        <w:rPr>
          <w:sz w:val="23"/>
          <w:szCs w:val="23"/>
        </w:rPr>
      </w:pPr>
      <w:r>
        <w:rPr>
          <w:sz w:val="23"/>
          <w:szCs w:val="23"/>
        </w:rPr>
        <w:t>Explanation</w:t>
      </w:r>
      <w:r>
        <w:rPr>
          <w:i/>
          <w:iCs/>
          <w:sz w:val="23"/>
          <w:szCs w:val="23"/>
        </w:rPr>
        <w:t>.-</w:t>
      </w:r>
      <w:r>
        <w:rPr>
          <w:sz w:val="23"/>
          <w:szCs w:val="23"/>
        </w:rPr>
        <w:t xml:space="preserve">For the purpose of clause (a), "government company(ies)" means Government company as defined in sub-section (45) of section 2 of the Companies Act, 2013. </w:t>
      </w:r>
    </w:p>
    <w:p w14:paraId="0EE69D37" w14:textId="77777777" w:rsidR="00274E14" w:rsidRDefault="00274E14" w:rsidP="00274E14">
      <w:pPr>
        <w:pStyle w:val="Default"/>
        <w:rPr>
          <w:sz w:val="23"/>
          <w:szCs w:val="23"/>
        </w:rPr>
      </w:pPr>
      <w:r>
        <w:rPr>
          <w:sz w:val="23"/>
          <w:szCs w:val="23"/>
        </w:rPr>
        <w:t xml:space="preserve">(6) The provisions of this regulation shall be applicable to all prospective transactions. </w:t>
      </w:r>
    </w:p>
    <w:p w14:paraId="402A040C" w14:textId="77777777" w:rsidR="00274E14" w:rsidRDefault="00274E14" w:rsidP="00274E14">
      <w:pPr>
        <w:pStyle w:val="Default"/>
        <w:ind w:left="284" w:hanging="284"/>
        <w:rPr>
          <w:sz w:val="23"/>
          <w:szCs w:val="23"/>
        </w:rPr>
      </w:pPr>
    </w:p>
    <w:p w14:paraId="26EA1BA0" w14:textId="77777777" w:rsidR="00274E14" w:rsidRDefault="00274E14" w:rsidP="00274E14">
      <w:pPr>
        <w:pStyle w:val="Default"/>
        <w:ind w:left="284" w:hanging="284"/>
        <w:rPr>
          <w:sz w:val="23"/>
          <w:szCs w:val="23"/>
        </w:rPr>
      </w:pPr>
      <w:r>
        <w:rPr>
          <w:sz w:val="23"/>
          <w:szCs w:val="23"/>
        </w:rPr>
        <w:lastRenderedPageBreak/>
        <w:t xml:space="preserve">(7) For the purpose of this regulation, all entities falling under the definition of related parties shall abstain from voting irrespective of whether the entity is a party to the particular transaction or not. </w:t>
      </w:r>
    </w:p>
    <w:p w14:paraId="7E3285BD" w14:textId="77777777" w:rsidR="00274E14" w:rsidRDefault="00274E14" w:rsidP="00274E14">
      <w:pPr>
        <w:pStyle w:val="Default"/>
        <w:rPr>
          <w:sz w:val="23"/>
          <w:szCs w:val="23"/>
        </w:rPr>
      </w:pPr>
    </w:p>
    <w:p w14:paraId="7341A1D6" w14:textId="77777777" w:rsidR="00274E14" w:rsidRDefault="00274E14" w:rsidP="00274E14">
      <w:pPr>
        <w:pStyle w:val="Default"/>
        <w:ind w:left="284" w:hanging="284"/>
        <w:rPr>
          <w:sz w:val="23"/>
          <w:szCs w:val="23"/>
        </w:rPr>
      </w:pPr>
      <w:r>
        <w:rPr>
          <w:sz w:val="23"/>
          <w:szCs w:val="23"/>
        </w:rPr>
        <w:t xml:space="preserve">(8) All existing material related party contracts or arrangements entered into prior to the date of notification of these regulations and which may continue beyond such date shall be placed for approval of the shareholders in the first General Meeting subsequent to notification of these regulations. </w:t>
      </w:r>
    </w:p>
    <w:p w14:paraId="77A5B5C2" w14:textId="615467A6" w:rsidR="008D7980" w:rsidRDefault="008D7980" w:rsidP="00E60E8A">
      <w:pPr>
        <w:spacing w:line="480" w:lineRule="auto"/>
        <w:jc w:val="both"/>
        <w:rPr>
          <w:sz w:val="24"/>
        </w:rPr>
      </w:pPr>
    </w:p>
    <w:p w14:paraId="7E19267D" w14:textId="3092EEFC" w:rsidR="00054D27" w:rsidRPr="00B81AE5" w:rsidRDefault="00B81AE5" w:rsidP="00E60E8A">
      <w:pPr>
        <w:spacing w:line="480" w:lineRule="auto"/>
        <w:jc w:val="both"/>
        <w:rPr>
          <w:b/>
          <w:sz w:val="24"/>
        </w:rPr>
      </w:pPr>
      <w:r w:rsidRPr="00B81AE5">
        <w:rPr>
          <w:b/>
          <w:sz w:val="24"/>
        </w:rPr>
        <w:t>A2. Definition of a ‘related party’</w:t>
      </w:r>
      <w:r w:rsidR="00274E14">
        <w:rPr>
          <w:b/>
          <w:sz w:val="24"/>
        </w:rPr>
        <w:t xml:space="preserve"> </w:t>
      </w:r>
      <w:r w:rsidR="00274E14">
        <w:rPr>
          <w:rFonts w:hint="eastAsia"/>
          <w:b/>
          <w:sz w:val="24"/>
        </w:rPr>
        <w:t>in</w:t>
      </w:r>
      <w:r w:rsidR="00274E14">
        <w:rPr>
          <w:b/>
          <w:sz w:val="24"/>
        </w:rPr>
        <w:t xml:space="preserve"> Companies Act 2013</w:t>
      </w:r>
    </w:p>
    <w:p w14:paraId="0B1F4111" w14:textId="77777777" w:rsidR="00D6151A" w:rsidRDefault="00D6151A" w:rsidP="00D6151A">
      <w:pPr>
        <w:pStyle w:val="Default"/>
        <w:rPr>
          <w:sz w:val="22"/>
          <w:szCs w:val="22"/>
        </w:rPr>
      </w:pPr>
      <w:r>
        <w:rPr>
          <w:sz w:val="22"/>
          <w:szCs w:val="22"/>
        </w:rPr>
        <w:t>(</w:t>
      </w:r>
      <w:r>
        <w:rPr>
          <w:i/>
          <w:iCs/>
          <w:sz w:val="22"/>
          <w:szCs w:val="22"/>
        </w:rPr>
        <w:t>76</w:t>
      </w:r>
      <w:r>
        <w:rPr>
          <w:sz w:val="22"/>
          <w:szCs w:val="22"/>
        </w:rPr>
        <w:t xml:space="preserve">) ―related party‖, with reference to a company, means— </w:t>
      </w:r>
    </w:p>
    <w:p w14:paraId="490FDF46" w14:textId="77777777" w:rsidR="00D6151A" w:rsidRDefault="00D6151A" w:rsidP="00B81AE5">
      <w:pPr>
        <w:pStyle w:val="Default"/>
        <w:ind w:left="284" w:firstLine="142"/>
        <w:rPr>
          <w:sz w:val="22"/>
          <w:szCs w:val="22"/>
        </w:rPr>
      </w:pPr>
      <w:r>
        <w:rPr>
          <w:sz w:val="22"/>
          <w:szCs w:val="22"/>
        </w:rPr>
        <w:t>(</w:t>
      </w:r>
      <w:r>
        <w:rPr>
          <w:i/>
          <w:iCs/>
          <w:sz w:val="22"/>
          <w:szCs w:val="22"/>
        </w:rPr>
        <w:t>i</w:t>
      </w:r>
      <w:r>
        <w:rPr>
          <w:sz w:val="22"/>
          <w:szCs w:val="22"/>
        </w:rPr>
        <w:t xml:space="preserve">) a director or his relative; </w:t>
      </w:r>
    </w:p>
    <w:p w14:paraId="00F55FD1" w14:textId="77777777" w:rsidR="00D6151A" w:rsidRDefault="00D6151A" w:rsidP="00B81AE5">
      <w:pPr>
        <w:pStyle w:val="Default"/>
        <w:ind w:left="284" w:firstLine="142"/>
        <w:rPr>
          <w:sz w:val="22"/>
          <w:szCs w:val="22"/>
        </w:rPr>
      </w:pPr>
      <w:r>
        <w:rPr>
          <w:sz w:val="22"/>
          <w:szCs w:val="22"/>
        </w:rPr>
        <w:t>(</w:t>
      </w:r>
      <w:r>
        <w:rPr>
          <w:i/>
          <w:iCs/>
          <w:sz w:val="22"/>
          <w:szCs w:val="22"/>
        </w:rPr>
        <w:t>ii</w:t>
      </w:r>
      <w:r>
        <w:rPr>
          <w:sz w:val="22"/>
          <w:szCs w:val="22"/>
        </w:rPr>
        <w:t xml:space="preserve">) a key managerial personnel or his relative; </w:t>
      </w:r>
    </w:p>
    <w:p w14:paraId="6069912B" w14:textId="77777777" w:rsidR="00D6151A" w:rsidRDefault="00D6151A" w:rsidP="00B81AE5">
      <w:pPr>
        <w:pStyle w:val="Default"/>
        <w:ind w:left="284" w:firstLine="142"/>
        <w:rPr>
          <w:sz w:val="22"/>
          <w:szCs w:val="22"/>
        </w:rPr>
      </w:pPr>
      <w:r>
        <w:rPr>
          <w:sz w:val="22"/>
          <w:szCs w:val="22"/>
        </w:rPr>
        <w:t>(</w:t>
      </w:r>
      <w:r>
        <w:rPr>
          <w:i/>
          <w:iCs/>
          <w:sz w:val="22"/>
          <w:szCs w:val="22"/>
        </w:rPr>
        <w:t>iii</w:t>
      </w:r>
      <w:r>
        <w:rPr>
          <w:sz w:val="22"/>
          <w:szCs w:val="22"/>
        </w:rPr>
        <w:t xml:space="preserve">) a firm, in which a director, manager or his relative is a partner; </w:t>
      </w:r>
    </w:p>
    <w:p w14:paraId="4CF2F9F6" w14:textId="77777777" w:rsidR="00D6151A" w:rsidRDefault="00D6151A" w:rsidP="00B81AE5">
      <w:pPr>
        <w:pStyle w:val="Default"/>
        <w:ind w:left="284" w:firstLine="142"/>
        <w:rPr>
          <w:sz w:val="22"/>
          <w:szCs w:val="22"/>
        </w:rPr>
      </w:pPr>
      <w:r>
        <w:rPr>
          <w:sz w:val="22"/>
          <w:szCs w:val="22"/>
        </w:rPr>
        <w:t>(</w:t>
      </w:r>
      <w:r>
        <w:rPr>
          <w:i/>
          <w:iCs/>
          <w:sz w:val="22"/>
          <w:szCs w:val="22"/>
        </w:rPr>
        <w:t>iv</w:t>
      </w:r>
      <w:r>
        <w:rPr>
          <w:sz w:val="22"/>
          <w:szCs w:val="22"/>
        </w:rPr>
        <w:t xml:space="preserve">) a private company in which a director or manager is a member or director; </w:t>
      </w:r>
    </w:p>
    <w:p w14:paraId="206C216B" w14:textId="77777777" w:rsidR="00D6151A" w:rsidRDefault="00D6151A" w:rsidP="00B81AE5">
      <w:pPr>
        <w:pStyle w:val="Default"/>
        <w:tabs>
          <w:tab w:val="left" w:pos="709"/>
        </w:tabs>
        <w:ind w:left="709" w:hanging="283"/>
        <w:rPr>
          <w:sz w:val="22"/>
          <w:szCs w:val="22"/>
        </w:rPr>
      </w:pPr>
      <w:r>
        <w:rPr>
          <w:sz w:val="22"/>
          <w:szCs w:val="22"/>
        </w:rPr>
        <w:t>(</w:t>
      </w:r>
      <w:r>
        <w:rPr>
          <w:i/>
          <w:iCs/>
          <w:sz w:val="22"/>
          <w:szCs w:val="22"/>
        </w:rPr>
        <w:t>v</w:t>
      </w:r>
      <w:r>
        <w:rPr>
          <w:sz w:val="22"/>
          <w:szCs w:val="22"/>
        </w:rPr>
        <w:t xml:space="preserve">) a public company in which a director or manager is a director or holds along with his relatives, more than two per cent. of its paid-up share capital; </w:t>
      </w:r>
    </w:p>
    <w:p w14:paraId="6F4AD18C" w14:textId="77777777" w:rsidR="00D6151A" w:rsidRDefault="00D6151A" w:rsidP="00B81AE5">
      <w:pPr>
        <w:pStyle w:val="Default"/>
        <w:tabs>
          <w:tab w:val="left" w:pos="709"/>
        </w:tabs>
        <w:ind w:left="709" w:hanging="283"/>
        <w:rPr>
          <w:sz w:val="22"/>
          <w:szCs w:val="22"/>
        </w:rPr>
      </w:pPr>
      <w:r>
        <w:rPr>
          <w:sz w:val="22"/>
          <w:szCs w:val="22"/>
        </w:rPr>
        <w:t>(</w:t>
      </w:r>
      <w:r>
        <w:rPr>
          <w:i/>
          <w:iCs/>
          <w:sz w:val="22"/>
          <w:szCs w:val="22"/>
        </w:rPr>
        <w:t>vi</w:t>
      </w:r>
      <w:r>
        <w:rPr>
          <w:sz w:val="22"/>
          <w:szCs w:val="22"/>
        </w:rPr>
        <w:t xml:space="preserve">) any body corporate whose Board of Directors, managing director or manager is accustomed to act in accordance with the advice, directions or instructions of a director or manager; </w:t>
      </w:r>
    </w:p>
    <w:p w14:paraId="2455D33C" w14:textId="77777777" w:rsidR="00D6151A" w:rsidRDefault="00D6151A" w:rsidP="00B81AE5">
      <w:pPr>
        <w:pStyle w:val="Default"/>
        <w:tabs>
          <w:tab w:val="left" w:pos="709"/>
        </w:tabs>
        <w:ind w:left="709" w:hanging="283"/>
        <w:rPr>
          <w:sz w:val="22"/>
          <w:szCs w:val="22"/>
        </w:rPr>
      </w:pPr>
      <w:r>
        <w:rPr>
          <w:sz w:val="22"/>
          <w:szCs w:val="22"/>
        </w:rPr>
        <w:t>(</w:t>
      </w:r>
      <w:r>
        <w:rPr>
          <w:i/>
          <w:iCs/>
          <w:sz w:val="22"/>
          <w:szCs w:val="22"/>
        </w:rPr>
        <w:t>vii</w:t>
      </w:r>
      <w:r>
        <w:rPr>
          <w:sz w:val="22"/>
          <w:szCs w:val="22"/>
        </w:rPr>
        <w:t xml:space="preserve">) any person on whose advice, directions or instructions a director or manager is accustomed to act: </w:t>
      </w:r>
    </w:p>
    <w:p w14:paraId="0B956384" w14:textId="77777777" w:rsidR="00D6151A" w:rsidRDefault="00D6151A" w:rsidP="00D6151A">
      <w:pPr>
        <w:pStyle w:val="Default"/>
        <w:rPr>
          <w:sz w:val="22"/>
          <w:szCs w:val="22"/>
        </w:rPr>
      </w:pPr>
      <w:r>
        <w:rPr>
          <w:sz w:val="22"/>
          <w:szCs w:val="22"/>
        </w:rPr>
        <w:t>Provided that nothing in sub-clauses (</w:t>
      </w:r>
      <w:r>
        <w:rPr>
          <w:i/>
          <w:iCs/>
          <w:sz w:val="22"/>
          <w:szCs w:val="22"/>
        </w:rPr>
        <w:t>vi</w:t>
      </w:r>
      <w:r>
        <w:rPr>
          <w:sz w:val="22"/>
          <w:szCs w:val="22"/>
        </w:rPr>
        <w:t>) and (</w:t>
      </w:r>
      <w:r>
        <w:rPr>
          <w:i/>
          <w:iCs/>
          <w:sz w:val="22"/>
          <w:szCs w:val="22"/>
        </w:rPr>
        <w:t>vii</w:t>
      </w:r>
      <w:r>
        <w:rPr>
          <w:sz w:val="22"/>
          <w:szCs w:val="22"/>
        </w:rPr>
        <w:t xml:space="preserve">) shall apply to the advice, directions or instructions given in a professional capacity; </w:t>
      </w:r>
    </w:p>
    <w:p w14:paraId="7D1773B3" w14:textId="77777777" w:rsidR="00D6151A" w:rsidRDefault="00D6151A" w:rsidP="00B81AE5">
      <w:pPr>
        <w:pStyle w:val="Default"/>
        <w:tabs>
          <w:tab w:val="left" w:pos="709"/>
        </w:tabs>
        <w:ind w:left="709" w:hanging="283"/>
        <w:rPr>
          <w:sz w:val="22"/>
          <w:szCs w:val="22"/>
        </w:rPr>
      </w:pPr>
      <w:r>
        <w:rPr>
          <w:sz w:val="22"/>
          <w:szCs w:val="22"/>
        </w:rPr>
        <w:t>(</w:t>
      </w:r>
      <w:r>
        <w:rPr>
          <w:i/>
          <w:iCs/>
          <w:sz w:val="22"/>
          <w:szCs w:val="22"/>
        </w:rPr>
        <w:t>viii</w:t>
      </w:r>
      <w:r>
        <w:rPr>
          <w:sz w:val="22"/>
          <w:szCs w:val="22"/>
        </w:rPr>
        <w:t xml:space="preserve">) any company which is— </w:t>
      </w:r>
    </w:p>
    <w:p w14:paraId="07BE9570" w14:textId="77777777" w:rsidR="00D6151A" w:rsidRDefault="00D6151A" w:rsidP="00B81AE5">
      <w:pPr>
        <w:pStyle w:val="Default"/>
        <w:ind w:left="851"/>
        <w:rPr>
          <w:sz w:val="22"/>
          <w:szCs w:val="22"/>
        </w:rPr>
      </w:pPr>
      <w:r>
        <w:rPr>
          <w:sz w:val="22"/>
          <w:szCs w:val="22"/>
        </w:rPr>
        <w:t>(</w:t>
      </w:r>
      <w:r>
        <w:rPr>
          <w:i/>
          <w:iCs/>
          <w:sz w:val="22"/>
          <w:szCs w:val="22"/>
        </w:rPr>
        <w:t>A</w:t>
      </w:r>
      <w:r>
        <w:rPr>
          <w:sz w:val="22"/>
          <w:szCs w:val="22"/>
        </w:rPr>
        <w:t xml:space="preserve">) a holding, subsidiary or an associate company of such company; or </w:t>
      </w:r>
    </w:p>
    <w:p w14:paraId="3577A375" w14:textId="77777777" w:rsidR="00D6151A" w:rsidRDefault="00D6151A" w:rsidP="00B81AE5">
      <w:pPr>
        <w:pStyle w:val="Default"/>
        <w:ind w:left="851"/>
        <w:rPr>
          <w:sz w:val="22"/>
          <w:szCs w:val="22"/>
        </w:rPr>
      </w:pPr>
      <w:r>
        <w:rPr>
          <w:sz w:val="22"/>
          <w:szCs w:val="22"/>
        </w:rPr>
        <w:t>(</w:t>
      </w:r>
      <w:r>
        <w:rPr>
          <w:i/>
          <w:iCs/>
          <w:sz w:val="22"/>
          <w:szCs w:val="22"/>
        </w:rPr>
        <w:t>B</w:t>
      </w:r>
      <w:r>
        <w:rPr>
          <w:sz w:val="22"/>
          <w:szCs w:val="22"/>
        </w:rPr>
        <w:t xml:space="preserve">) a subsidiary of a holding company to which it is also a subsidiary; </w:t>
      </w:r>
    </w:p>
    <w:p w14:paraId="1B932C0B" w14:textId="49C69B11" w:rsidR="00054D27" w:rsidRDefault="00D6151A" w:rsidP="003A5DA9">
      <w:pPr>
        <w:pStyle w:val="Default"/>
        <w:tabs>
          <w:tab w:val="left" w:pos="709"/>
        </w:tabs>
        <w:ind w:left="709" w:hanging="283"/>
      </w:pPr>
      <w:r>
        <w:rPr>
          <w:sz w:val="22"/>
          <w:szCs w:val="22"/>
        </w:rPr>
        <w:t>(</w:t>
      </w:r>
      <w:r>
        <w:rPr>
          <w:i/>
          <w:iCs/>
          <w:sz w:val="22"/>
          <w:szCs w:val="22"/>
        </w:rPr>
        <w:t>ix</w:t>
      </w:r>
      <w:r>
        <w:rPr>
          <w:sz w:val="22"/>
          <w:szCs w:val="22"/>
        </w:rPr>
        <w:t xml:space="preserve">) such other person as may be prescribed; </w:t>
      </w:r>
      <w:r w:rsidR="00054D27">
        <w:br w:type="page"/>
      </w:r>
    </w:p>
    <w:p w14:paraId="427891C7" w14:textId="46C0C122" w:rsidR="00054D27" w:rsidRPr="00E3638B" w:rsidRDefault="00054D27" w:rsidP="00E60E8A">
      <w:pPr>
        <w:spacing w:line="480" w:lineRule="auto"/>
        <w:jc w:val="both"/>
        <w:rPr>
          <w:b/>
          <w:sz w:val="24"/>
        </w:rPr>
      </w:pPr>
      <w:r w:rsidRPr="00E3638B">
        <w:rPr>
          <w:b/>
          <w:sz w:val="24"/>
        </w:rPr>
        <w:lastRenderedPageBreak/>
        <w:t>Appendix B. Variable Definitions</w:t>
      </w:r>
    </w:p>
    <w:tbl>
      <w:tblPr>
        <w:tblW w:w="11045" w:type="dxa"/>
        <w:tblLook w:val="04A0" w:firstRow="1" w:lastRow="0" w:firstColumn="1" w:lastColumn="0" w:noHBand="0" w:noVBand="1"/>
      </w:tblPr>
      <w:tblGrid>
        <w:gridCol w:w="2835"/>
        <w:gridCol w:w="3987"/>
        <w:gridCol w:w="1329"/>
        <w:gridCol w:w="780"/>
        <w:gridCol w:w="549"/>
        <w:gridCol w:w="1329"/>
        <w:gridCol w:w="236"/>
      </w:tblGrid>
      <w:tr w:rsidR="001E0CFF" w:rsidRPr="001E0CFF" w14:paraId="060E60B0" w14:textId="77777777" w:rsidTr="001E0CFF">
        <w:trPr>
          <w:gridAfter w:val="3"/>
          <w:wAfter w:w="2114" w:type="dxa"/>
          <w:trHeight w:val="300"/>
        </w:trPr>
        <w:tc>
          <w:tcPr>
            <w:tcW w:w="2835" w:type="dxa"/>
            <w:tcBorders>
              <w:top w:val="single" w:sz="4" w:space="0" w:color="auto"/>
              <w:left w:val="nil"/>
              <w:bottom w:val="single" w:sz="4" w:space="0" w:color="auto"/>
              <w:right w:val="nil"/>
            </w:tcBorders>
            <w:shd w:val="clear" w:color="auto" w:fill="auto"/>
            <w:noWrap/>
            <w:vAlign w:val="bottom"/>
            <w:hideMark/>
          </w:tcPr>
          <w:p w14:paraId="44ABC00A" w14:textId="77777777" w:rsidR="001E0CFF" w:rsidRPr="001E0CFF" w:rsidRDefault="001E0CFF" w:rsidP="001E0CFF">
            <w:pPr>
              <w:rPr>
                <w:rFonts w:ascii="Times New Roman" w:eastAsia="Times New Roman" w:hAnsi="Times New Roman" w:cs="Times New Roman"/>
                <w:b/>
                <w:bCs/>
                <w:color w:val="000000"/>
                <w:sz w:val="20"/>
                <w:szCs w:val="20"/>
              </w:rPr>
            </w:pPr>
            <w:r w:rsidRPr="001E0CFF">
              <w:rPr>
                <w:rFonts w:ascii="Times New Roman" w:eastAsia="Times New Roman" w:hAnsi="Times New Roman" w:cs="Times New Roman"/>
                <w:b/>
                <w:bCs/>
                <w:color w:val="000000"/>
                <w:sz w:val="20"/>
                <w:szCs w:val="20"/>
              </w:rPr>
              <w:t>Variable Name</w:t>
            </w:r>
          </w:p>
        </w:tc>
        <w:tc>
          <w:tcPr>
            <w:tcW w:w="6096" w:type="dxa"/>
            <w:gridSpan w:val="3"/>
            <w:tcBorders>
              <w:top w:val="single" w:sz="4" w:space="0" w:color="auto"/>
              <w:left w:val="nil"/>
              <w:bottom w:val="single" w:sz="4" w:space="0" w:color="auto"/>
              <w:right w:val="nil"/>
            </w:tcBorders>
            <w:shd w:val="clear" w:color="auto" w:fill="auto"/>
            <w:noWrap/>
            <w:vAlign w:val="bottom"/>
            <w:hideMark/>
          </w:tcPr>
          <w:p w14:paraId="0BF30B8A" w14:textId="77777777" w:rsidR="001E0CFF" w:rsidRPr="001E0CFF" w:rsidRDefault="001E0CFF" w:rsidP="001E0CFF">
            <w:pPr>
              <w:rPr>
                <w:rFonts w:ascii="Times New Roman" w:eastAsia="Times New Roman" w:hAnsi="Times New Roman" w:cs="Times New Roman"/>
                <w:b/>
                <w:bCs/>
                <w:color w:val="000000"/>
                <w:sz w:val="20"/>
                <w:szCs w:val="20"/>
              </w:rPr>
            </w:pPr>
            <w:r w:rsidRPr="001E0CFF">
              <w:rPr>
                <w:rFonts w:ascii="Times New Roman" w:eastAsia="Times New Roman" w:hAnsi="Times New Roman" w:cs="Times New Roman"/>
                <w:b/>
                <w:bCs/>
                <w:color w:val="000000"/>
                <w:sz w:val="20"/>
                <w:szCs w:val="20"/>
              </w:rPr>
              <w:t>Description</w:t>
            </w:r>
          </w:p>
        </w:tc>
      </w:tr>
      <w:tr w:rsidR="001E0CFF" w:rsidRPr="001E0CFF" w14:paraId="23CF4F00" w14:textId="77777777" w:rsidTr="001E0CFF">
        <w:trPr>
          <w:gridAfter w:val="3"/>
          <w:wAfter w:w="2114" w:type="dxa"/>
          <w:trHeight w:val="258"/>
        </w:trPr>
        <w:tc>
          <w:tcPr>
            <w:tcW w:w="8931" w:type="dxa"/>
            <w:gridSpan w:val="4"/>
            <w:tcBorders>
              <w:top w:val="nil"/>
              <w:left w:val="nil"/>
              <w:bottom w:val="nil"/>
              <w:right w:val="nil"/>
            </w:tcBorders>
            <w:shd w:val="clear" w:color="auto" w:fill="auto"/>
            <w:noWrap/>
            <w:vAlign w:val="bottom"/>
            <w:hideMark/>
          </w:tcPr>
          <w:p w14:paraId="431BFD40" w14:textId="45578C77" w:rsidR="001E0CFF" w:rsidRPr="001E0CFF" w:rsidRDefault="001E0CFF" w:rsidP="001E0CFF">
            <w:pP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Voting </w:t>
            </w:r>
            <w:r w:rsidRPr="001E0CFF">
              <w:rPr>
                <w:rFonts w:ascii="Times New Roman" w:eastAsia="Times New Roman" w:hAnsi="Times New Roman" w:cs="Times New Roman"/>
                <w:b/>
                <w:bCs/>
                <w:color w:val="000000"/>
                <w:sz w:val="20"/>
                <w:szCs w:val="20"/>
              </w:rPr>
              <w:t>variables</w:t>
            </w:r>
          </w:p>
        </w:tc>
      </w:tr>
      <w:tr w:rsidR="001E0CFF" w:rsidRPr="001E0CFF" w14:paraId="74729809"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316892A"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TOTAL PARTICIPATION</w:t>
            </w:r>
          </w:p>
        </w:tc>
        <w:tc>
          <w:tcPr>
            <w:tcW w:w="6096" w:type="dxa"/>
            <w:gridSpan w:val="3"/>
            <w:tcBorders>
              <w:top w:val="nil"/>
              <w:left w:val="nil"/>
              <w:bottom w:val="nil"/>
              <w:right w:val="nil"/>
            </w:tcBorders>
            <w:shd w:val="clear" w:color="auto" w:fill="auto"/>
            <w:noWrap/>
            <w:vAlign w:val="bottom"/>
            <w:hideMark/>
          </w:tcPr>
          <w:p w14:paraId="72990C1D" w14:textId="26A2C349" w:rsidR="001E0CFF" w:rsidRPr="001E0CFF" w:rsidRDefault="009C2980" w:rsidP="00E17D9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w:t>
            </w:r>
            <w:r w:rsidR="001E0CFF"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shares owned by </w:t>
            </w:r>
            <w:r w:rsidR="001E0CFF" w:rsidRPr="001E0CFF">
              <w:rPr>
                <w:rFonts w:ascii="Times New Roman" w:eastAsia="Times New Roman" w:hAnsi="Times New Roman" w:cs="Times New Roman"/>
                <w:color w:val="000000"/>
                <w:sz w:val="20"/>
                <w:szCs w:val="20"/>
              </w:rPr>
              <w:t>shareholders who participated in voting</w:t>
            </w:r>
            <w:r>
              <w:rPr>
                <w:rFonts w:ascii="Times New Roman" w:eastAsia="Times New Roman" w:hAnsi="Times New Roman" w:cs="Times New Roman"/>
                <w:color w:val="000000"/>
                <w:sz w:val="20"/>
                <w:szCs w:val="20"/>
              </w:rPr>
              <w:t xml:space="preserve">, divided by the total number of </w:t>
            </w:r>
            <w:r w:rsidRPr="00D91A72">
              <w:rPr>
                <w:rFonts w:ascii="Times New Roman" w:eastAsia="Times New Roman" w:hAnsi="Times New Roman" w:cs="Times New Roman"/>
                <w:color w:val="000000"/>
                <w:sz w:val="20"/>
                <w:szCs w:val="20"/>
              </w:rPr>
              <w:t xml:space="preserve">shares </w:t>
            </w:r>
            <w:r w:rsidRPr="0057453C">
              <w:rPr>
                <w:rFonts w:ascii="Times New Roman" w:eastAsia="Times New Roman" w:hAnsi="Times New Roman" w:cs="Times New Roman"/>
                <w:color w:val="000000"/>
                <w:sz w:val="20"/>
                <w:szCs w:val="20"/>
              </w:rPr>
              <w:t>owned by</w:t>
            </w:r>
            <w:r w:rsidR="00D91A72" w:rsidRPr="0057453C">
              <w:rPr>
                <w:rFonts w:ascii="Times New Roman" w:eastAsia="Times New Roman" w:hAnsi="Times New Roman" w:cs="Times New Roman"/>
                <w:color w:val="000000"/>
                <w:sz w:val="20"/>
                <w:szCs w:val="20"/>
              </w:rPr>
              <w:t xml:space="preserve"> eligible</w:t>
            </w:r>
            <w:r w:rsidRPr="0057453C">
              <w:rPr>
                <w:rFonts w:ascii="Times New Roman" w:eastAsia="Times New Roman" w:hAnsi="Times New Roman" w:cs="Times New Roman"/>
                <w:color w:val="000000"/>
                <w:sz w:val="20"/>
                <w:szCs w:val="20"/>
              </w:rPr>
              <w:t xml:space="preserve"> institutional and retail investors</w:t>
            </w:r>
          </w:p>
        </w:tc>
      </w:tr>
      <w:tr w:rsidR="001E0CFF" w:rsidRPr="001E0CFF" w14:paraId="1E3C4D94"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B3F99DD"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 INVESTORS IN FAVOUR</w:t>
            </w:r>
          </w:p>
        </w:tc>
        <w:tc>
          <w:tcPr>
            <w:tcW w:w="6096" w:type="dxa"/>
            <w:gridSpan w:val="3"/>
            <w:tcBorders>
              <w:top w:val="nil"/>
              <w:left w:val="nil"/>
              <w:bottom w:val="nil"/>
              <w:right w:val="nil"/>
            </w:tcBorders>
            <w:shd w:val="clear" w:color="auto" w:fill="auto"/>
            <w:noWrap/>
            <w:vAlign w:val="bottom"/>
            <w:hideMark/>
          </w:tcPr>
          <w:p w14:paraId="01FE9239" w14:textId="4D2A88A2" w:rsidR="001E0CFF" w:rsidRPr="001E0CFF" w:rsidRDefault="009C2980" w:rsidP="009C298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shares owned by</w:t>
            </w:r>
            <w:r w:rsidR="001E0CFF" w:rsidRPr="001E0CFF">
              <w:rPr>
                <w:rFonts w:ascii="Times New Roman" w:eastAsia="Times New Roman" w:hAnsi="Times New Roman" w:cs="Times New Roman"/>
                <w:color w:val="000000"/>
                <w:sz w:val="20"/>
                <w:szCs w:val="20"/>
              </w:rPr>
              <w:t xml:space="preserve"> shareholders who voted in favour of a resolution</w:t>
            </w:r>
            <w:r>
              <w:rPr>
                <w:rFonts w:ascii="Times New Roman" w:eastAsia="Times New Roman" w:hAnsi="Times New Roman" w:cs="Times New Roman"/>
                <w:color w:val="000000"/>
                <w:sz w:val="20"/>
                <w:szCs w:val="20"/>
              </w:rPr>
              <w:t>, divided by the number of</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shares owned by </w:t>
            </w:r>
            <w:r w:rsidRPr="001E0CFF">
              <w:rPr>
                <w:rFonts w:ascii="Times New Roman" w:eastAsia="Times New Roman" w:hAnsi="Times New Roman" w:cs="Times New Roman"/>
                <w:color w:val="000000"/>
                <w:sz w:val="20"/>
                <w:szCs w:val="20"/>
              </w:rPr>
              <w:t>shareholders who participated in voting</w:t>
            </w:r>
          </w:p>
        </w:tc>
      </w:tr>
      <w:tr w:rsidR="001E0CFF" w:rsidRPr="001E0CFF" w14:paraId="2965636A"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0A78FB71"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PARTICIPATION BY INSTITUTIONAL INVESTORS</w:t>
            </w:r>
          </w:p>
        </w:tc>
        <w:tc>
          <w:tcPr>
            <w:tcW w:w="6096" w:type="dxa"/>
            <w:gridSpan w:val="3"/>
            <w:tcBorders>
              <w:top w:val="nil"/>
              <w:left w:val="nil"/>
              <w:bottom w:val="nil"/>
              <w:right w:val="nil"/>
            </w:tcBorders>
            <w:shd w:val="clear" w:color="auto" w:fill="auto"/>
            <w:noWrap/>
            <w:vAlign w:val="bottom"/>
            <w:hideMark/>
          </w:tcPr>
          <w:p w14:paraId="5E52CBE8" w14:textId="723794CC" w:rsidR="001E0CFF" w:rsidRPr="001E0CFF" w:rsidRDefault="009C2980" w:rsidP="009C298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shares owned by institutional investors</w:t>
            </w:r>
            <w:r w:rsidRPr="001E0CFF">
              <w:rPr>
                <w:rFonts w:ascii="Times New Roman" w:eastAsia="Times New Roman" w:hAnsi="Times New Roman" w:cs="Times New Roman"/>
                <w:color w:val="000000"/>
                <w:sz w:val="20"/>
                <w:szCs w:val="20"/>
              </w:rPr>
              <w:t xml:space="preserve"> who participated in voting</w:t>
            </w:r>
            <w:r>
              <w:rPr>
                <w:rFonts w:ascii="Times New Roman" w:eastAsia="Times New Roman" w:hAnsi="Times New Roman" w:cs="Times New Roman"/>
                <w:color w:val="000000"/>
                <w:sz w:val="20"/>
                <w:szCs w:val="20"/>
              </w:rPr>
              <w:t xml:space="preserve">, divided by the total number of shares owned by </w:t>
            </w:r>
            <w:r w:rsidR="00FD1019">
              <w:rPr>
                <w:rFonts w:ascii="Times New Roman" w:eastAsia="Times New Roman" w:hAnsi="Times New Roman" w:cs="Times New Roman"/>
                <w:color w:val="000000"/>
                <w:sz w:val="20"/>
                <w:szCs w:val="20"/>
              </w:rPr>
              <w:t xml:space="preserve">eligible </w:t>
            </w:r>
            <w:r>
              <w:rPr>
                <w:rFonts w:ascii="Times New Roman" w:eastAsia="Times New Roman" w:hAnsi="Times New Roman" w:cs="Times New Roman"/>
                <w:color w:val="000000"/>
                <w:sz w:val="20"/>
                <w:szCs w:val="20"/>
              </w:rPr>
              <w:t>institutional investors</w:t>
            </w:r>
          </w:p>
        </w:tc>
      </w:tr>
      <w:tr w:rsidR="001E0CFF" w:rsidRPr="001E0CFF" w14:paraId="1F7F963E"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31A3B512"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 INSTITUTIONAL INVESTORS IN FAVOUR</w:t>
            </w:r>
          </w:p>
        </w:tc>
        <w:tc>
          <w:tcPr>
            <w:tcW w:w="6096" w:type="dxa"/>
            <w:gridSpan w:val="3"/>
            <w:tcBorders>
              <w:top w:val="nil"/>
              <w:left w:val="nil"/>
              <w:bottom w:val="nil"/>
              <w:right w:val="nil"/>
            </w:tcBorders>
            <w:shd w:val="clear" w:color="auto" w:fill="auto"/>
            <w:noWrap/>
            <w:vAlign w:val="bottom"/>
            <w:hideMark/>
          </w:tcPr>
          <w:p w14:paraId="70664C07" w14:textId="73C882C5" w:rsidR="001E0CFF" w:rsidRPr="001E0CFF" w:rsidRDefault="009C2980" w:rsidP="001E0CF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shares owned by</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institutional investors</w:t>
            </w:r>
            <w:r w:rsidRPr="001E0CFF">
              <w:rPr>
                <w:rFonts w:ascii="Times New Roman" w:eastAsia="Times New Roman" w:hAnsi="Times New Roman" w:cs="Times New Roman"/>
                <w:color w:val="000000"/>
                <w:sz w:val="20"/>
                <w:szCs w:val="20"/>
              </w:rPr>
              <w:t xml:space="preserve"> who voted in favour of a resolution</w:t>
            </w:r>
            <w:r>
              <w:rPr>
                <w:rFonts w:ascii="Times New Roman" w:eastAsia="Times New Roman" w:hAnsi="Times New Roman" w:cs="Times New Roman"/>
                <w:color w:val="000000"/>
                <w:sz w:val="20"/>
                <w:szCs w:val="20"/>
              </w:rPr>
              <w:t>, divided by the number of</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shares owned by institutional investors</w:t>
            </w:r>
            <w:r w:rsidRPr="001E0CFF">
              <w:rPr>
                <w:rFonts w:ascii="Times New Roman" w:eastAsia="Times New Roman" w:hAnsi="Times New Roman" w:cs="Times New Roman"/>
                <w:color w:val="000000"/>
                <w:sz w:val="20"/>
                <w:szCs w:val="20"/>
              </w:rPr>
              <w:t xml:space="preserve"> who participated in voting</w:t>
            </w:r>
          </w:p>
        </w:tc>
      </w:tr>
      <w:tr w:rsidR="009C2980" w:rsidRPr="001E0CFF" w14:paraId="0A4C5D67"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7CB37900" w14:textId="77777777" w:rsidR="009C2980" w:rsidRPr="001E0CFF" w:rsidRDefault="009C2980" w:rsidP="009C2980">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PARTICIPATION BY RETAIL INVESTORS</w:t>
            </w:r>
          </w:p>
        </w:tc>
        <w:tc>
          <w:tcPr>
            <w:tcW w:w="6096" w:type="dxa"/>
            <w:gridSpan w:val="3"/>
            <w:tcBorders>
              <w:top w:val="nil"/>
              <w:left w:val="nil"/>
              <w:bottom w:val="nil"/>
              <w:right w:val="nil"/>
            </w:tcBorders>
            <w:shd w:val="clear" w:color="auto" w:fill="auto"/>
            <w:noWrap/>
            <w:vAlign w:val="bottom"/>
            <w:hideMark/>
          </w:tcPr>
          <w:p w14:paraId="0C35E2D9" w14:textId="6E4DAA30" w:rsidR="009C2980" w:rsidRPr="001E0CFF" w:rsidRDefault="009C298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shares owned by retail investors</w:t>
            </w:r>
            <w:r w:rsidRPr="001E0CFF">
              <w:rPr>
                <w:rFonts w:ascii="Times New Roman" w:eastAsia="Times New Roman" w:hAnsi="Times New Roman" w:cs="Times New Roman"/>
                <w:color w:val="000000"/>
                <w:sz w:val="20"/>
                <w:szCs w:val="20"/>
              </w:rPr>
              <w:t xml:space="preserve"> who participated in voting</w:t>
            </w:r>
            <w:r>
              <w:rPr>
                <w:rFonts w:ascii="Times New Roman" w:eastAsia="Times New Roman" w:hAnsi="Times New Roman" w:cs="Times New Roman"/>
                <w:color w:val="000000"/>
                <w:sz w:val="20"/>
                <w:szCs w:val="20"/>
              </w:rPr>
              <w:t xml:space="preserve">, divided by the total number of shares owned by </w:t>
            </w:r>
            <w:r w:rsidR="00A6198F">
              <w:rPr>
                <w:rFonts w:ascii="Times New Roman" w:eastAsia="Times New Roman" w:hAnsi="Times New Roman" w:cs="Times New Roman"/>
                <w:color w:val="000000"/>
                <w:sz w:val="20"/>
                <w:szCs w:val="20"/>
              </w:rPr>
              <w:t xml:space="preserve">retail </w:t>
            </w:r>
            <w:r>
              <w:rPr>
                <w:rFonts w:ascii="Times New Roman" w:eastAsia="Times New Roman" w:hAnsi="Times New Roman" w:cs="Times New Roman"/>
                <w:color w:val="000000"/>
                <w:sz w:val="20"/>
                <w:szCs w:val="20"/>
              </w:rPr>
              <w:t>investors</w:t>
            </w:r>
          </w:p>
        </w:tc>
      </w:tr>
      <w:tr w:rsidR="009C2980" w:rsidRPr="001E0CFF" w14:paraId="1D33ED28"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2EA7DF3B" w14:textId="77777777" w:rsidR="009C2980" w:rsidRPr="001E0CFF" w:rsidRDefault="009C2980" w:rsidP="009C2980">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 RETAIL INVESTORS IN FAVOUR</w:t>
            </w:r>
          </w:p>
        </w:tc>
        <w:tc>
          <w:tcPr>
            <w:tcW w:w="6096" w:type="dxa"/>
            <w:gridSpan w:val="3"/>
            <w:tcBorders>
              <w:top w:val="nil"/>
              <w:left w:val="nil"/>
              <w:bottom w:val="nil"/>
              <w:right w:val="nil"/>
            </w:tcBorders>
            <w:shd w:val="clear" w:color="auto" w:fill="auto"/>
            <w:noWrap/>
            <w:vAlign w:val="bottom"/>
            <w:hideMark/>
          </w:tcPr>
          <w:p w14:paraId="792BB7B7" w14:textId="353B4EFC" w:rsidR="009C2980" w:rsidRPr="001E0CFF" w:rsidRDefault="009C298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number of shares owned by</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retail investors</w:t>
            </w:r>
            <w:r w:rsidRPr="001E0CFF">
              <w:rPr>
                <w:rFonts w:ascii="Times New Roman" w:eastAsia="Times New Roman" w:hAnsi="Times New Roman" w:cs="Times New Roman"/>
                <w:color w:val="000000"/>
                <w:sz w:val="20"/>
                <w:szCs w:val="20"/>
              </w:rPr>
              <w:t xml:space="preserve"> who voted in favour of a resolution</w:t>
            </w:r>
            <w:r>
              <w:rPr>
                <w:rFonts w:ascii="Times New Roman" w:eastAsia="Times New Roman" w:hAnsi="Times New Roman" w:cs="Times New Roman"/>
                <w:color w:val="000000"/>
                <w:sz w:val="20"/>
                <w:szCs w:val="20"/>
              </w:rPr>
              <w:t>, divided by the number of</w:t>
            </w:r>
            <w:r w:rsidRPr="001E0CF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shares owned by </w:t>
            </w:r>
            <w:r w:rsidR="005020BB">
              <w:rPr>
                <w:rFonts w:ascii="Times New Roman" w:eastAsia="Times New Roman" w:hAnsi="Times New Roman" w:cs="Times New Roman"/>
                <w:color w:val="000000"/>
                <w:sz w:val="20"/>
                <w:szCs w:val="20"/>
              </w:rPr>
              <w:t xml:space="preserve">retail </w:t>
            </w:r>
            <w:r>
              <w:rPr>
                <w:rFonts w:ascii="Times New Roman" w:eastAsia="Times New Roman" w:hAnsi="Times New Roman" w:cs="Times New Roman"/>
                <w:color w:val="000000"/>
                <w:sz w:val="20"/>
                <w:szCs w:val="20"/>
              </w:rPr>
              <w:t>investors</w:t>
            </w:r>
            <w:r w:rsidRPr="001E0CFF">
              <w:rPr>
                <w:rFonts w:ascii="Times New Roman" w:eastAsia="Times New Roman" w:hAnsi="Times New Roman" w:cs="Times New Roman"/>
                <w:color w:val="000000"/>
                <w:sz w:val="20"/>
                <w:szCs w:val="20"/>
              </w:rPr>
              <w:t xml:space="preserve"> who participated in voting</w:t>
            </w:r>
          </w:p>
        </w:tc>
      </w:tr>
      <w:tr w:rsidR="001E0CFF" w:rsidRPr="001E0CFF" w14:paraId="0F3158F9"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C1DCCCE" w14:textId="77777777" w:rsidR="001E0CFF" w:rsidRPr="001E0CFF" w:rsidRDefault="001E0CFF" w:rsidP="001E0CFF">
            <w:pPr>
              <w:rPr>
                <w:rFonts w:ascii="Times New Roman" w:eastAsia="Times New Roman" w:hAnsi="Times New Roman" w:cs="Times New Roman"/>
                <w:color w:val="000000"/>
                <w:sz w:val="20"/>
                <w:szCs w:val="20"/>
              </w:rPr>
            </w:pPr>
          </w:p>
        </w:tc>
        <w:tc>
          <w:tcPr>
            <w:tcW w:w="6096" w:type="dxa"/>
            <w:gridSpan w:val="3"/>
            <w:tcBorders>
              <w:top w:val="nil"/>
              <w:left w:val="nil"/>
              <w:bottom w:val="nil"/>
              <w:right w:val="nil"/>
            </w:tcBorders>
            <w:shd w:val="clear" w:color="auto" w:fill="auto"/>
            <w:noWrap/>
            <w:vAlign w:val="bottom"/>
            <w:hideMark/>
          </w:tcPr>
          <w:p w14:paraId="4E46DA4B" w14:textId="77777777" w:rsidR="001E0CFF" w:rsidRPr="001E0CFF" w:rsidRDefault="001E0CFF" w:rsidP="001E0CFF">
            <w:pPr>
              <w:rPr>
                <w:rFonts w:ascii="Times New Roman" w:eastAsia="Times New Roman" w:hAnsi="Times New Roman" w:cs="Times New Roman"/>
                <w:sz w:val="20"/>
                <w:szCs w:val="20"/>
              </w:rPr>
            </w:pPr>
          </w:p>
        </w:tc>
      </w:tr>
      <w:tr w:rsidR="001E0CFF" w:rsidRPr="001E0CFF" w14:paraId="2C866C44" w14:textId="77777777" w:rsidTr="001E0CFF">
        <w:trPr>
          <w:trHeight w:val="300"/>
        </w:trPr>
        <w:tc>
          <w:tcPr>
            <w:tcW w:w="6822" w:type="dxa"/>
            <w:gridSpan w:val="2"/>
            <w:tcBorders>
              <w:top w:val="nil"/>
              <w:left w:val="nil"/>
              <w:bottom w:val="nil"/>
              <w:right w:val="nil"/>
            </w:tcBorders>
            <w:shd w:val="clear" w:color="auto" w:fill="auto"/>
            <w:noWrap/>
            <w:vAlign w:val="bottom"/>
            <w:hideMark/>
          </w:tcPr>
          <w:p w14:paraId="16EE0DD6" w14:textId="0DEF2271" w:rsidR="001E0CFF" w:rsidRPr="001E0CFF" w:rsidRDefault="001E0CFF" w:rsidP="001E0CFF">
            <w:pPr>
              <w:rPr>
                <w:rFonts w:ascii="Times New Roman" w:eastAsia="Times New Roman" w:hAnsi="Times New Roman" w:cs="Times New Roman"/>
                <w:sz w:val="20"/>
                <w:szCs w:val="20"/>
              </w:rPr>
            </w:pPr>
            <w:r w:rsidRPr="001E0CFF">
              <w:rPr>
                <w:rFonts w:ascii="Times New Roman" w:eastAsia="Times New Roman" w:hAnsi="Times New Roman" w:cs="Times New Roman"/>
                <w:b/>
                <w:bCs/>
                <w:color w:val="000000"/>
                <w:sz w:val="20"/>
                <w:szCs w:val="20"/>
              </w:rPr>
              <w:t>Textual characteristics of resolution related disclosure:</w:t>
            </w:r>
          </w:p>
        </w:tc>
        <w:tc>
          <w:tcPr>
            <w:tcW w:w="1329" w:type="dxa"/>
            <w:tcBorders>
              <w:top w:val="nil"/>
              <w:left w:val="nil"/>
              <w:bottom w:val="nil"/>
              <w:right w:val="nil"/>
            </w:tcBorders>
            <w:shd w:val="clear" w:color="auto" w:fill="auto"/>
            <w:noWrap/>
            <w:vAlign w:val="bottom"/>
            <w:hideMark/>
          </w:tcPr>
          <w:p w14:paraId="4595784C" w14:textId="77777777" w:rsidR="001E0CFF" w:rsidRPr="001E0CFF" w:rsidRDefault="001E0CFF" w:rsidP="001E0CFF">
            <w:pPr>
              <w:rPr>
                <w:rFonts w:ascii="Times New Roman" w:eastAsia="Times New Roman" w:hAnsi="Times New Roman" w:cs="Times New Roman"/>
                <w:sz w:val="20"/>
                <w:szCs w:val="20"/>
              </w:rPr>
            </w:pPr>
          </w:p>
        </w:tc>
        <w:tc>
          <w:tcPr>
            <w:tcW w:w="1329" w:type="dxa"/>
            <w:gridSpan w:val="2"/>
            <w:tcBorders>
              <w:top w:val="nil"/>
              <w:left w:val="nil"/>
              <w:bottom w:val="nil"/>
              <w:right w:val="nil"/>
            </w:tcBorders>
            <w:shd w:val="clear" w:color="auto" w:fill="auto"/>
            <w:noWrap/>
            <w:vAlign w:val="bottom"/>
            <w:hideMark/>
          </w:tcPr>
          <w:p w14:paraId="1234E63C" w14:textId="77777777" w:rsidR="001E0CFF" w:rsidRPr="001E0CFF" w:rsidRDefault="001E0CFF" w:rsidP="001E0CFF">
            <w:pPr>
              <w:rPr>
                <w:rFonts w:ascii="Times New Roman" w:eastAsia="Times New Roman" w:hAnsi="Times New Roman" w:cs="Times New Roman"/>
                <w:sz w:val="20"/>
                <w:szCs w:val="20"/>
              </w:rPr>
            </w:pPr>
          </w:p>
        </w:tc>
        <w:tc>
          <w:tcPr>
            <w:tcW w:w="1329" w:type="dxa"/>
            <w:tcBorders>
              <w:top w:val="nil"/>
              <w:left w:val="nil"/>
              <w:bottom w:val="nil"/>
              <w:right w:val="nil"/>
            </w:tcBorders>
            <w:shd w:val="clear" w:color="auto" w:fill="auto"/>
            <w:noWrap/>
            <w:vAlign w:val="bottom"/>
            <w:hideMark/>
          </w:tcPr>
          <w:p w14:paraId="1271517C" w14:textId="77777777" w:rsidR="001E0CFF" w:rsidRPr="001E0CFF" w:rsidRDefault="001E0CFF" w:rsidP="001E0CFF">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204FB2AD" w14:textId="77777777" w:rsidR="001E0CFF" w:rsidRPr="001E0CFF" w:rsidRDefault="001E0CFF" w:rsidP="001E0CFF">
            <w:pPr>
              <w:rPr>
                <w:rFonts w:ascii="Times New Roman" w:eastAsia="Times New Roman" w:hAnsi="Times New Roman" w:cs="Times New Roman"/>
                <w:sz w:val="20"/>
                <w:szCs w:val="20"/>
              </w:rPr>
            </w:pPr>
          </w:p>
        </w:tc>
      </w:tr>
      <w:tr w:rsidR="001E0CFF" w:rsidRPr="001E0CFF" w14:paraId="1B507314"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3BF4493D"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FOG</w:t>
            </w:r>
          </w:p>
        </w:tc>
        <w:tc>
          <w:tcPr>
            <w:tcW w:w="6096" w:type="dxa"/>
            <w:gridSpan w:val="3"/>
            <w:tcBorders>
              <w:top w:val="nil"/>
              <w:left w:val="nil"/>
              <w:bottom w:val="nil"/>
              <w:right w:val="nil"/>
            </w:tcBorders>
            <w:shd w:val="clear" w:color="auto" w:fill="auto"/>
            <w:noWrap/>
            <w:vAlign w:val="bottom"/>
            <w:hideMark/>
          </w:tcPr>
          <w:p w14:paraId="25AA8F84"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Gunning fog index of the complexity of resolution related textual disclosure</w:t>
            </w:r>
          </w:p>
        </w:tc>
      </w:tr>
      <w:tr w:rsidR="001E0CFF" w:rsidRPr="001E0CFF" w14:paraId="2E2AC065"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785B7B9D"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TOTAL SENTENCES</w:t>
            </w:r>
          </w:p>
        </w:tc>
        <w:tc>
          <w:tcPr>
            <w:tcW w:w="6096" w:type="dxa"/>
            <w:gridSpan w:val="3"/>
            <w:tcBorders>
              <w:top w:val="nil"/>
              <w:left w:val="nil"/>
              <w:bottom w:val="nil"/>
              <w:right w:val="nil"/>
            </w:tcBorders>
            <w:shd w:val="clear" w:color="auto" w:fill="auto"/>
            <w:noWrap/>
            <w:vAlign w:val="bottom"/>
            <w:hideMark/>
          </w:tcPr>
          <w:p w14:paraId="68A21C76"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Total number of sentences in resolution related textual disclosure</w:t>
            </w:r>
          </w:p>
        </w:tc>
      </w:tr>
      <w:tr w:rsidR="001E0CFF" w:rsidRPr="001E0CFF" w14:paraId="09E00AC5"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3923C140"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TOTAL WORDS</w:t>
            </w:r>
          </w:p>
        </w:tc>
        <w:tc>
          <w:tcPr>
            <w:tcW w:w="6096" w:type="dxa"/>
            <w:gridSpan w:val="3"/>
            <w:tcBorders>
              <w:top w:val="nil"/>
              <w:left w:val="nil"/>
              <w:bottom w:val="nil"/>
              <w:right w:val="nil"/>
            </w:tcBorders>
            <w:shd w:val="clear" w:color="auto" w:fill="auto"/>
            <w:noWrap/>
            <w:vAlign w:val="bottom"/>
            <w:hideMark/>
          </w:tcPr>
          <w:p w14:paraId="2BB996EF"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Total number of words in resolution related textual disclosure</w:t>
            </w:r>
          </w:p>
        </w:tc>
      </w:tr>
      <w:tr w:rsidR="001E0CFF" w:rsidRPr="001E0CFF" w14:paraId="7F7FD62A" w14:textId="77777777" w:rsidTr="001E0CFF">
        <w:trPr>
          <w:gridAfter w:val="3"/>
          <w:wAfter w:w="2114" w:type="dxa"/>
          <w:trHeight w:val="945"/>
        </w:trPr>
        <w:tc>
          <w:tcPr>
            <w:tcW w:w="2835" w:type="dxa"/>
            <w:tcBorders>
              <w:top w:val="nil"/>
              <w:left w:val="nil"/>
              <w:bottom w:val="nil"/>
              <w:right w:val="nil"/>
            </w:tcBorders>
            <w:shd w:val="clear" w:color="auto" w:fill="auto"/>
            <w:noWrap/>
            <w:hideMark/>
          </w:tcPr>
          <w:p w14:paraId="7309E707"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TONE</w:t>
            </w:r>
          </w:p>
        </w:tc>
        <w:tc>
          <w:tcPr>
            <w:tcW w:w="6096" w:type="dxa"/>
            <w:gridSpan w:val="3"/>
            <w:tcBorders>
              <w:top w:val="nil"/>
              <w:left w:val="nil"/>
              <w:bottom w:val="nil"/>
              <w:right w:val="nil"/>
            </w:tcBorders>
            <w:shd w:val="clear" w:color="auto" w:fill="auto"/>
            <w:vAlign w:val="bottom"/>
            <w:hideMark/>
          </w:tcPr>
          <w:p w14:paraId="4184FD52" w14:textId="77777777" w:rsidR="001E0CFF" w:rsidRDefault="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Difference in the frequency of optimistic and pessimistic words scaled by the total number of words in resolution related textual disclosure. We use the financial dictionary of optimistic words and pess</w:t>
            </w:r>
            <w:r w:rsidR="006A3F47">
              <w:rPr>
                <w:rFonts w:ascii="Times New Roman" w:eastAsia="Times New Roman" w:hAnsi="Times New Roman" w:cs="Times New Roman"/>
                <w:color w:val="000000"/>
                <w:sz w:val="20"/>
                <w:szCs w:val="20"/>
              </w:rPr>
              <w:t>i</w:t>
            </w:r>
            <w:r w:rsidRPr="001E0CFF">
              <w:rPr>
                <w:rFonts w:ascii="Times New Roman" w:eastAsia="Times New Roman" w:hAnsi="Times New Roman" w:cs="Times New Roman"/>
                <w:color w:val="000000"/>
                <w:sz w:val="20"/>
                <w:szCs w:val="20"/>
              </w:rPr>
              <w:t>mistic words from Loughran and McDo</w:t>
            </w:r>
            <w:r w:rsidR="00223924">
              <w:rPr>
                <w:rFonts w:ascii="Times New Roman" w:eastAsia="Times New Roman" w:hAnsi="Times New Roman" w:cs="Times New Roman"/>
                <w:color w:val="000000"/>
                <w:sz w:val="20"/>
                <w:szCs w:val="20"/>
              </w:rPr>
              <w:t>n</w:t>
            </w:r>
            <w:r w:rsidRPr="001E0CFF">
              <w:rPr>
                <w:rFonts w:ascii="Times New Roman" w:eastAsia="Times New Roman" w:hAnsi="Times New Roman" w:cs="Times New Roman"/>
                <w:color w:val="000000"/>
                <w:sz w:val="20"/>
                <w:szCs w:val="20"/>
              </w:rPr>
              <w:t>a</w:t>
            </w:r>
            <w:r w:rsidR="00223924">
              <w:rPr>
                <w:rFonts w:ascii="Times New Roman" w:eastAsia="Times New Roman" w:hAnsi="Times New Roman" w:cs="Times New Roman"/>
                <w:color w:val="000000"/>
                <w:sz w:val="20"/>
                <w:szCs w:val="20"/>
              </w:rPr>
              <w:t>ld</w:t>
            </w:r>
            <w:r w:rsidRPr="001E0CFF">
              <w:rPr>
                <w:rFonts w:ascii="Times New Roman" w:eastAsia="Times New Roman" w:hAnsi="Times New Roman" w:cs="Times New Roman"/>
                <w:color w:val="000000"/>
                <w:sz w:val="20"/>
                <w:szCs w:val="20"/>
              </w:rPr>
              <w:t xml:space="preserve"> (2011)</w:t>
            </w:r>
          </w:p>
          <w:p w14:paraId="5DF0F1F9" w14:textId="4CF3D6D1" w:rsidR="00B7620C" w:rsidRPr="001E0CFF" w:rsidRDefault="00B7620C">
            <w:pPr>
              <w:rPr>
                <w:rFonts w:ascii="Times New Roman" w:eastAsia="Times New Roman" w:hAnsi="Times New Roman" w:cs="Times New Roman"/>
                <w:color w:val="000000"/>
                <w:sz w:val="20"/>
                <w:szCs w:val="20"/>
              </w:rPr>
            </w:pPr>
          </w:p>
        </w:tc>
      </w:tr>
      <w:tr w:rsidR="00B7620C" w:rsidRPr="001E0CFF" w14:paraId="44ED8240" w14:textId="77777777" w:rsidTr="005314AE">
        <w:trPr>
          <w:gridAfter w:val="3"/>
          <w:wAfter w:w="2114" w:type="dxa"/>
          <w:trHeight w:val="80"/>
        </w:trPr>
        <w:tc>
          <w:tcPr>
            <w:tcW w:w="2835" w:type="dxa"/>
            <w:tcBorders>
              <w:top w:val="nil"/>
              <w:left w:val="nil"/>
              <w:bottom w:val="nil"/>
              <w:right w:val="nil"/>
            </w:tcBorders>
            <w:shd w:val="clear" w:color="auto" w:fill="auto"/>
            <w:noWrap/>
          </w:tcPr>
          <w:p w14:paraId="67B1A721" w14:textId="20DAE79E" w:rsidR="00B7620C" w:rsidRPr="001E0CFF" w:rsidRDefault="00B7620C" w:rsidP="001E0CFF">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R_TONE</w:t>
            </w:r>
          </w:p>
        </w:tc>
        <w:tc>
          <w:tcPr>
            <w:tcW w:w="6096" w:type="dxa"/>
            <w:gridSpan w:val="3"/>
            <w:tcBorders>
              <w:top w:val="nil"/>
              <w:left w:val="nil"/>
              <w:bottom w:val="nil"/>
              <w:right w:val="nil"/>
            </w:tcBorders>
            <w:shd w:val="clear" w:color="auto" w:fill="auto"/>
            <w:vAlign w:val="bottom"/>
          </w:tcPr>
          <w:p w14:paraId="2565940D" w14:textId="015CB288" w:rsidR="00B7620C" w:rsidRPr="001E0CFF" w:rsidRDefault="00B7620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Decile ranking of </w:t>
            </w:r>
            <w:r w:rsidRPr="00B7620C">
              <w:rPr>
                <w:rFonts w:ascii="Times New Roman" w:eastAsia="Times New Roman" w:hAnsi="Times New Roman" w:cs="Times New Roman"/>
                <w:i/>
                <w:color w:val="000000"/>
                <w:sz w:val="20"/>
                <w:szCs w:val="20"/>
              </w:rPr>
              <w:t>TONE</w:t>
            </w:r>
          </w:p>
        </w:tc>
      </w:tr>
      <w:tr w:rsidR="001E0CFF" w:rsidRPr="001E0CFF" w14:paraId="2DE970D3" w14:textId="77777777" w:rsidTr="001E0CFF">
        <w:trPr>
          <w:gridAfter w:val="3"/>
          <w:wAfter w:w="2114" w:type="dxa"/>
          <w:trHeight w:val="300"/>
        </w:trPr>
        <w:tc>
          <w:tcPr>
            <w:tcW w:w="8931" w:type="dxa"/>
            <w:gridSpan w:val="4"/>
            <w:tcBorders>
              <w:top w:val="nil"/>
              <w:left w:val="nil"/>
              <w:bottom w:val="nil"/>
              <w:right w:val="nil"/>
            </w:tcBorders>
            <w:shd w:val="clear" w:color="auto" w:fill="auto"/>
            <w:noWrap/>
            <w:vAlign w:val="bottom"/>
            <w:hideMark/>
          </w:tcPr>
          <w:p w14:paraId="1E0E83F8" w14:textId="58613C92" w:rsidR="001E0CFF" w:rsidRPr="001E0CFF" w:rsidRDefault="001E0CFF" w:rsidP="001E0CFF">
            <w:pPr>
              <w:rPr>
                <w:rFonts w:ascii="Times New Roman" w:eastAsia="Times New Roman" w:hAnsi="Times New Roman" w:cs="Times New Roman"/>
                <w:b/>
                <w:bCs/>
                <w:color w:val="000000"/>
                <w:sz w:val="20"/>
                <w:szCs w:val="20"/>
              </w:rPr>
            </w:pPr>
            <w:r w:rsidRPr="001E0CFF">
              <w:rPr>
                <w:rFonts w:ascii="Times New Roman" w:eastAsia="Times New Roman" w:hAnsi="Times New Roman" w:cs="Times New Roman"/>
                <w:b/>
                <w:bCs/>
                <w:color w:val="000000"/>
                <w:sz w:val="20"/>
                <w:szCs w:val="20"/>
              </w:rPr>
              <w:t>Other variables:</w:t>
            </w:r>
          </w:p>
        </w:tc>
      </w:tr>
      <w:tr w:rsidR="001E0CFF" w:rsidRPr="001E0CFF" w14:paraId="663CE863"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F9A1D2D"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POSTAL BALLOT</w:t>
            </w:r>
          </w:p>
        </w:tc>
        <w:tc>
          <w:tcPr>
            <w:tcW w:w="6096" w:type="dxa"/>
            <w:gridSpan w:val="3"/>
            <w:tcBorders>
              <w:top w:val="nil"/>
              <w:left w:val="nil"/>
              <w:bottom w:val="nil"/>
              <w:right w:val="nil"/>
            </w:tcBorders>
            <w:shd w:val="clear" w:color="auto" w:fill="auto"/>
            <w:noWrap/>
            <w:vAlign w:val="bottom"/>
            <w:hideMark/>
          </w:tcPr>
          <w:p w14:paraId="065E2EFA" w14:textId="1A523ADC"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A dummy variable which is equal to 1 for Postal Ballot resolution</w:t>
            </w:r>
            <w:r w:rsidR="005C6515">
              <w:rPr>
                <w:rFonts w:ascii="Times New Roman" w:eastAsia="Times New Roman" w:hAnsi="Times New Roman" w:cs="Times New Roman"/>
                <w:color w:val="000000"/>
                <w:sz w:val="20"/>
                <w:szCs w:val="20"/>
              </w:rPr>
              <w:t>s</w:t>
            </w:r>
            <w:r w:rsidRPr="001E0CFF">
              <w:rPr>
                <w:rFonts w:ascii="Times New Roman" w:eastAsia="Times New Roman" w:hAnsi="Times New Roman" w:cs="Times New Roman"/>
                <w:color w:val="000000"/>
                <w:sz w:val="20"/>
                <w:szCs w:val="20"/>
              </w:rPr>
              <w:t xml:space="preserve"> and 0 for AGM related resolution</w:t>
            </w:r>
            <w:r w:rsidR="00FA3D57">
              <w:rPr>
                <w:rFonts w:ascii="Times New Roman" w:eastAsia="Times New Roman" w:hAnsi="Times New Roman" w:cs="Times New Roman"/>
                <w:color w:val="000000"/>
                <w:sz w:val="20"/>
                <w:szCs w:val="20"/>
              </w:rPr>
              <w:t>s</w:t>
            </w:r>
          </w:p>
        </w:tc>
      </w:tr>
      <w:tr w:rsidR="001E0CFF" w:rsidRPr="001E0CFF" w14:paraId="376ED2FC"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49AC0750"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SPECIAL RESOLUTION</w:t>
            </w:r>
          </w:p>
        </w:tc>
        <w:tc>
          <w:tcPr>
            <w:tcW w:w="6096" w:type="dxa"/>
            <w:gridSpan w:val="3"/>
            <w:tcBorders>
              <w:top w:val="nil"/>
              <w:left w:val="nil"/>
              <w:bottom w:val="nil"/>
              <w:right w:val="nil"/>
            </w:tcBorders>
            <w:shd w:val="clear" w:color="auto" w:fill="auto"/>
            <w:noWrap/>
            <w:vAlign w:val="bottom"/>
            <w:hideMark/>
          </w:tcPr>
          <w:p w14:paraId="67A170BC" w14:textId="785DA62E"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A dummy variable which is equal to 1 for special resolution</w:t>
            </w:r>
            <w:r w:rsidR="000C753E">
              <w:rPr>
                <w:rFonts w:ascii="Times New Roman" w:eastAsia="Times New Roman" w:hAnsi="Times New Roman" w:cs="Times New Roman"/>
                <w:color w:val="000000"/>
                <w:sz w:val="20"/>
                <w:szCs w:val="20"/>
              </w:rPr>
              <w:t>s</w:t>
            </w:r>
            <w:r w:rsidRPr="001E0CFF">
              <w:rPr>
                <w:rFonts w:ascii="Times New Roman" w:eastAsia="Times New Roman" w:hAnsi="Times New Roman" w:cs="Times New Roman"/>
                <w:color w:val="000000"/>
                <w:sz w:val="20"/>
                <w:szCs w:val="20"/>
              </w:rPr>
              <w:t xml:space="preserve"> and 0 otherwise</w:t>
            </w:r>
          </w:p>
        </w:tc>
      </w:tr>
      <w:tr w:rsidR="001E0CFF" w:rsidRPr="001E0CFF" w14:paraId="223FC05A"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31A0DC99"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RESOLUTION_PASSED</w:t>
            </w:r>
          </w:p>
        </w:tc>
        <w:tc>
          <w:tcPr>
            <w:tcW w:w="6096" w:type="dxa"/>
            <w:gridSpan w:val="3"/>
            <w:tcBorders>
              <w:top w:val="nil"/>
              <w:left w:val="nil"/>
              <w:bottom w:val="nil"/>
              <w:right w:val="nil"/>
            </w:tcBorders>
            <w:shd w:val="clear" w:color="auto" w:fill="auto"/>
            <w:noWrap/>
            <w:vAlign w:val="bottom"/>
            <w:hideMark/>
          </w:tcPr>
          <w:p w14:paraId="033BA543" w14:textId="07F30CE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 xml:space="preserve">A dummy variable which is equal to 1 if </w:t>
            </w:r>
            <w:r w:rsidR="00A75C8A">
              <w:rPr>
                <w:rFonts w:ascii="Times New Roman" w:eastAsia="Times New Roman" w:hAnsi="Times New Roman" w:cs="Times New Roman"/>
                <w:color w:val="000000"/>
                <w:sz w:val="20"/>
                <w:szCs w:val="20"/>
              </w:rPr>
              <w:t xml:space="preserve">a </w:t>
            </w:r>
            <w:r w:rsidRPr="001E0CFF">
              <w:rPr>
                <w:rFonts w:ascii="Times New Roman" w:eastAsia="Times New Roman" w:hAnsi="Times New Roman" w:cs="Times New Roman"/>
                <w:color w:val="000000"/>
                <w:sz w:val="20"/>
                <w:szCs w:val="20"/>
              </w:rPr>
              <w:t xml:space="preserve">resolution was </w:t>
            </w:r>
            <w:r w:rsidR="00A75C8A" w:rsidRPr="001E0CFF">
              <w:rPr>
                <w:rFonts w:ascii="Times New Roman" w:eastAsia="Times New Roman" w:hAnsi="Times New Roman" w:cs="Times New Roman"/>
                <w:color w:val="000000"/>
                <w:sz w:val="20"/>
                <w:szCs w:val="20"/>
              </w:rPr>
              <w:t>successfully</w:t>
            </w:r>
            <w:r w:rsidRPr="001E0CFF">
              <w:rPr>
                <w:rFonts w:ascii="Times New Roman" w:eastAsia="Times New Roman" w:hAnsi="Times New Roman" w:cs="Times New Roman"/>
                <w:color w:val="000000"/>
                <w:sz w:val="20"/>
                <w:szCs w:val="20"/>
              </w:rPr>
              <w:t xml:space="preserve"> passed and 0 otherwise</w:t>
            </w:r>
          </w:p>
        </w:tc>
      </w:tr>
      <w:tr w:rsidR="001E0CFF" w:rsidRPr="001E0CFF" w14:paraId="2B75B56E" w14:textId="77777777" w:rsidTr="001E0CFF">
        <w:trPr>
          <w:gridAfter w:val="3"/>
          <w:wAfter w:w="2114" w:type="dxa"/>
          <w:trHeight w:val="630"/>
        </w:trPr>
        <w:tc>
          <w:tcPr>
            <w:tcW w:w="2835" w:type="dxa"/>
            <w:tcBorders>
              <w:top w:val="nil"/>
              <w:left w:val="nil"/>
              <w:bottom w:val="nil"/>
              <w:right w:val="nil"/>
            </w:tcBorders>
            <w:shd w:val="clear" w:color="auto" w:fill="auto"/>
            <w:noWrap/>
            <w:hideMark/>
          </w:tcPr>
          <w:p w14:paraId="02C2FB57"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IIAS RECOMMENDATION</w:t>
            </w:r>
          </w:p>
        </w:tc>
        <w:tc>
          <w:tcPr>
            <w:tcW w:w="6096" w:type="dxa"/>
            <w:gridSpan w:val="3"/>
            <w:tcBorders>
              <w:top w:val="nil"/>
              <w:left w:val="nil"/>
              <w:bottom w:val="nil"/>
              <w:right w:val="nil"/>
            </w:tcBorders>
            <w:shd w:val="clear" w:color="auto" w:fill="auto"/>
            <w:vAlign w:val="bottom"/>
            <w:hideMark/>
          </w:tcPr>
          <w:p w14:paraId="0D30FD65" w14:textId="1242C047" w:rsidR="001E0CFF" w:rsidRPr="001E0CFF" w:rsidRDefault="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A dummy variable which is equal to 1 if the IIAS recommendation for a resolution was in favour and 0 otherwise</w:t>
            </w:r>
          </w:p>
        </w:tc>
      </w:tr>
      <w:tr w:rsidR="001E0CFF" w:rsidRPr="001E0CFF" w14:paraId="452C604D"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5DBE0E19"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RPT TRANSACTION VALUE</w:t>
            </w:r>
          </w:p>
        </w:tc>
        <w:tc>
          <w:tcPr>
            <w:tcW w:w="6096" w:type="dxa"/>
            <w:gridSpan w:val="3"/>
            <w:tcBorders>
              <w:top w:val="nil"/>
              <w:left w:val="nil"/>
              <w:bottom w:val="nil"/>
              <w:right w:val="nil"/>
            </w:tcBorders>
            <w:shd w:val="clear" w:color="auto" w:fill="auto"/>
            <w:noWrap/>
            <w:vAlign w:val="bottom"/>
            <w:hideMark/>
          </w:tcPr>
          <w:p w14:paraId="5F2FBB2C"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The monetary value of RPT transaction</w:t>
            </w:r>
          </w:p>
        </w:tc>
      </w:tr>
      <w:tr w:rsidR="001E0CFF" w:rsidRPr="001E0CFF" w14:paraId="7682C64D"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5277313B" w14:textId="473E381A"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RPT</w:t>
            </w:r>
          </w:p>
        </w:tc>
        <w:tc>
          <w:tcPr>
            <w:tcW w:w="6096" w:type="dxa"/>
            <w:gridSpan w:val="3"/>
            <w:tcBorders>
              <w:top w:val="nil"/>
              <w:left w:val="nil"/>
              <w:bottom w:val="nil"/>
              <w:right w:val="nil"/>
            </w:tcBorders>
            <w:shd w:val="clear" w:color="auto" w:fill="auto"/>
            <w:noWrap/>
            <w:vAlign w:val="bottom"/>
            <w:hideMark/>
          </w:tcPr>
          <w:p w14:paraId="41A8744F"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The monetary value of RPT transaction scaled by total assets</w:t>
            </w:r>
          </w:p>
        </w:tc>
      </w:tr>
      <w:tr w:rsidR="001E0CFF" w:rsidRPr="001E0CFF" w14:paraId="15954C61"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5F878140" w14:textId="77777777" w:rsidR="001E0CFF" w:rsidRPr="001E0CFF" w:rsidRDefault="001E0CFF" w:rsidP="001E0CFF">
            <w:pPr>
              <w:rPr>
                <w:rFonts w:ascii="Times New Roman" w:eastAsia="Times New Roman" w:hAnsi="Times New Roman" w:cs="Times New Roman"/>
                <w:b/>
                <w:bCs/>
                <w:color w:val="000000"/>
                <w:sz w:val="20"/>
                <w:szCs w:val="20"/>
              </w:rPr>
            </w:pPr>
            <w:r w:rsidRPr="001E0CFF">
              <w:rPr>
                <w:rFonts w:ascii="Times New Roman" w:eastAsia="Times New Roman" w:hAnsi="Times New Roman" w:cs="Times New Roman"/>
                <w:b/>
                <w:bCs/>
                <w:color w:val="000000"/>
                <w:sz w:val="20"/>
                <w:szCs w:val="20"/>
              </w:rPr>
              <w:t>Firm characteristics:</w:t>
            </w:r>
          </w:p>
        </w:tc>
        <w:tc>
          <w:tcPr>
            <w:tcW w:w="6096" w:type="dxa"/>
            <w:gridSpan w:val="3"/>
            <w:tcBorders>
              <w:top w:val="nil"/>
              <w:left w:val="nil"/>
              <w:bottom w:val="nil"/>
              <w:right w:val="nil"/>
            </w:tcBorders>
            <w:shd w:val="clear" w:color="auto" w:fill="auto"/>
            <w:noWrap/>
            <w:vAlign w:val="bottom"/>
            <w:hideMark/>
          </w:tcPr>
          <w:p w14:paraId="6C766889" w14:textId="77777777" w:rsidR="001E0CFF" w:rsidRPr="001E0CFF" w:rsidRDefault="001E0CFF" w:rsidP="001E0CFF">
            <w:pPr>
              <w:rPr>
                <w:rFonts w:ascii="Times New Roman" w:eastAsia="Times New Roman" w:hAnsi="Times New Roman" w:cs="Times New Roman"/>
                <w:b/>
                <w:bCs/>
                <w:color w:val="000000"/>
                <w:sz w:val="20"/>
                <w:szCs w:val="20"/>
              </w:rPr>
            </w:pPr>
          </w:p>
        </w:tc>
      </w:tr>
      <w:tr w:rsidR="001E0CFF" w:rsidRPr="001E0CFF" w14:paraId="4EC4B39F"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1B9FDB6A"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LOG (ASSETS)</w:t>
            </w:r>
          </w:p>
        </w:tc>
        <w:tc>
          <w:tcPr>
            <w:tcW w:w="6096" w:type="dxa"/>
            <w:gridSpan w:val="3"/>
            <w:tcBorders>
              <w:top w:val="nil"/>
              <w:left w:val="nil"/>
              <w:bottom w:val="nil"/>
              <w:right w:val="nil"/>
            </w:tcBorders>
            <w:shd w:val="clear" w:color="auto" w:fill="auto"/>
            <w:noWrap/>
            <w:vAlign w:val="bottom"/>
            <w:hideMark/>
          </w:tcPr>
          <w:p w14:paraId="5EB1317F"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logarithmic transformation of total assets</w:t>
            </w:r>
          </w:p>
        </w:tc>
      </w:tr>
      <w:tr w:rsidR="001E0CFF" w:rsidRPr="001E0CFF" w14:paraId="45416321"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B2BB679"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ROA</w:t>
            </w:r>
          </w:p>
        </w:tc>
        <w:tc>
          <w:tcPr>
            <w:tcW w:w="6096" w:type="dxa"/>
            <w:gridSpan w:val="3"/>
            <w:tcBorders>
              <w:top w:val="nil"/>
              <w:left w:val="nil"/>
              <w:bottom w:val="nil"/>
              <w:right w:val="nil"/>
            </w:tcBorders>
            <w:shd w:val="clear" w:color="auto" w:fill="auto"/>
            <w:noWrap/>
            <w:vAlign w:val="bottom"/>
            <w:hideMark/>
          </w:tcPr>
          <w:p w14:paraId="07042663"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Net income scaled by total assets</w:t>
            </w:r>
          </w:p>
        </w:tc>
      </w:tr>
      <w:tr w:rsidR="001E0CFF" w:rsidRPr="001E0CFF" w14:paraId="1D681884"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7884C78B" w14:textId="47AF7419" w:rsidR="001E0CFF" w:rsidRPr="001E0CFF" w:rsidRDefault="002B3278" w:rsidP="001E0CFF">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MB</w:t>
            </w:r>
          </w:p>
        </w:tc>
        <w:tc>
          <w:tcPr>
            <w:tcW w:w="6096" w:type="dxa"/>
            <w:gridSpan w:val="3"/>
            <w:tcBorders>
              <w:top w:val="nil"/>
              <w:left w:val="nil"/>
              <w:bottom w:val="nil"/>
              <w:right w:val="nil"/>
            </w:tcBorders>
            <w:shd w:val="clear" w:color="auto" w:fill="auto"/>
            <w:noWrap/>
            <w:vAlign w:val="bottom"/>
            <w:hideMark/>
          </w:tcPr>
          <w:p w14:paraId="18E8288B"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Ratio of stock price per share and book value per share</w:t>
            </w:r>
          </w:p>
        </w:tc>
      </w:tr>
      <w:tr w:rsidR="001E0CFF" w:rsidRPr="001E0CFF" w14:paraId="03E6CA95"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3D814663"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SIZE</w:t>
            </w:r>
          </w:p>
        </w:tc>
        <w:tc>
          <w:tcPr>
            <w:tcW w:w="6096" w:type="dxa"/>
            <w:gridSpan w:val="3"/>
            <w:tcBorders>
              <w:top w:val="nil"/>
              <w:left w:val="nil"/>
              <w:bottom w:val="nil"/>
              <w:right w:val="nil"/>
            </w:tcBorders>
            <w:shd w:val="clear" w:color="auto" w:fill="auto"/>
            <w:noWrap/>
            <w:vAlign w:val="bottom"/>
            <w:hideMark/>
          </w:tcPr>
          <w:p w14:paraId="237613EA"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logarithmic transformation of market capitalization</w:t>
            </w:r>
          </w:p>
        </w:tc>
      </w:tr>
      <w:tr w:rsidR="001E0CFF" w:rsidRPr="001E0CFF" w14:paraId="1F91792C"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47F6700C"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INDEPENDENT DIRECTORS COUNT</w:t>
            </w:r>
          </w:p>
        </w:tc>
        <w:tc>
          <w:tcPr>
            <w:tcW w:w="6096" w:type="dxa"/>
            <w:gridSpan w:val="3"/>
            <w:tcBorders>
              <w:top w:val="nil"/>
              <w:left w:val="nil"/>
              <w:bottom w:val="nil"/>
              <w:right w:val="nil"/>
            </w:tcBorders>
            <w:shd w:val="clear" w:color="auto" w:fill="auto"/>
            <w:noWrap/>
            <w:vAlign w:val="bottom"/>
            <w:hideMark/>
          </w:tcPr>
          <w:p w14:paraId="543565DC"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Count of independent directors in the Board of Directors</w:t>
            </w:r>
          </w:p>
        </w:tc>
      </w:tr>
      <w:tr w:rsidR="001E0CFF" w:rsidRPr="001E0CFF" w14:paraId="66BE0774"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2AE25511"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DIRECTORS COUNT</w:t>
            </w:r>
          </w:p>
        </w:tc>
        <w:tc>
          <w:tcPr>
            <w:tcW w:w="6096" w:type="dxa"/>
            <w:gridSpan w:val="3"/>
            <w:tcBorders>
              <w:top w:val="nil"/>
              <w:left w:val="nil"/>
              <w:bottom w:val="nil"/>
              <w:right w:val="nil"/>
            </w:tcBorders>
            <w:shd w:val="clear" w:color="auto" w:fill="auto"/>
            <w:noWrap/>
            <w:vAlign w:val="bottom"/>
            <w:hideMark/>
          </w:tcPr>
          <w:p w14:paraId="47E63CF9"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Total count of directors</w:t>
            </w:r>
          </w:p>
        </w:tc>
      </w:tr>
      <w:tr w:rsidR="001E0CFF" w:rsidRPr="001E0CFF" w14:paraId="44362985"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2330D5AB"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PROMOTERS HOLDING</w:t>
            </w:r>
          </w:p>
        </w:tc>
        <w:tc>
          <w:tcPr>
            <w:tcW w:w="6096" w:type="dxa"/>
            <w:gridSpan w:val="3"/>
            <w:tcBorders>
              <w:top w:val="nil"/>
              <w:left w:val="nil"/>
              <w:bottom w:val="nil"/>
              <w:right w:val="nil"/>
            </w:tcBorders>
            <w:shd w:val="clear" w:color="auto" w:fill="auto"/>
            <w:noWrap/>
            <w:vAlign w:val="bottom"/>
            <w:hideMark/>
          </w:tcPr>
          <w:p w14:paraId="2381C382"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Percentage of shares held by promoters</w:t>
            </w:r>
          </w:p>
        </w:tc>
      </w:tr>
      <w:tr w:rsidR="001E0CFF" w:rsidRPr="001E0CFF" w14:paraId="2B89B91D" w14:textId="77777777" w:rsidTr="001E0CFF">
        <w:trPr>
          <w:gridAfter w:val="3"/>
          <w:wAfter w:w="2114" w:type="dxa"/>
          <w:trHeight w:val="300"/>
        </w:trPr>
        <w:tc>
          <w:tcPr>
            <w:tcW w:w="2835" w:type="dxa"/>
            <w:tcBorders>
              <w:top w:val="nil"/>
              <w:left w:val="nil"/>
              <w:bottom w:val="nil"/>
              <w:right w:val="nil"/>
            </w:tcBorders>
            <w:shd w:val="clear" w:color="auto" w:fill="auto"/>
            <w:noWrap/>
            <w:vAlign w:val="bottom"/>
            <w:hideMark/>
          </w:tcPr>
          <w:p w14:paraId="6CE39E3E"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 INDEPENDENT DIRECTORS</w:t>
            </w:r>
          </w:p>
        </w:tc>
        <w:tc>
          <w:tcPr>
            <w:tcW w:w="6096" w:type="dxa"/>
            <w:gridSpan w:val="3"/>
            <w:tcBorders>
              <w:top w:val="nil"/>
              <w:left w:val="nil"/>
              <w:bottom w:val="nil"/>
              <w:right w:val="nil"/>
            </w:tcBorders>
            <w:shd w:val="clear" w:color="auto" w:fill="auto"/>
            <w:noWrap/>
            <w:vAlign w:val="bottom"/>
            <w:hideMark/>
          </w:tcPr>
          <w:p w14:paraId="733AA2F0"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Percentage of independent directors in the Board of Directors</w:t>
            </w:r>
          </w:p>
        </w:tc>
      </w:tr>
      <w:tr w:rsidR="001E0CFF" w:rsidRPr="001E0CFF" w14:paraId="62915ABF" w14:textId="77777777" w:rsidTr="001E0CFF">
        <w:trPr>
          <w:gridAfter w:val="3"/>
          <w:wAfter w:w="2114" w:type="dxa"/>
          <w:trHeight w:val="630"/>
        </w:trPr>
        <w:tc>
          <w:tcPr>
            <w:tcW w:w="2835" w:type="dxa"/>
            <w:tcBorders>
              <w:top w:val="nil"/>
              <w:left w:val="nil"/>
              <w:bottom w:val="nil"/>
              <w:right w:val="nil"/>
            </w:tcBorders>
            <w:shd w:val="clear" w:color="auto" w:fill="auto"/>
            <w:noWrap/>
            <w:hideMark/>
          </w:tcPr>
          <w:p w14:paraId="5D8F64FA"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lastRenderedPageBreak/>
              <w:t>ANNUAL RETURNS</w:t>
            </w:r>
          </w:p>
        </w:tc>
        <w:tc>
          <w:tcPr>
            <w:tcW w:w="6096" w:type="dxa"/>
            <w:gridSpan w:val="3"/>
            <w:tcBorders>
              <w:top w:val="nil"/>
              <w:left w:val="nil"/>
              <w:bottom w:val="nil"/>
              <w:right w:val="nil"/>
            </w:tcBorders>
            <w:shd w:val="clear" w:color="auto" w:fill="auto"/>
            <w:vAlign w:val="bottom"/>
            <w:hideMark/>
          </w:tcPr>
          <w:p w14:paraId="6121A3AF" w14:textId="77777777"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Annual returns of a stock calculated by compounding monthly abnormal returns. BSE Sensex 30 was used as a proxy for market</w:t>
            </w:r>
          </w:p>
        </w:tc>
      </w:tr>
      <w:tr w:rsidR="001E0CFF" w:rsidRPr="001E0CFF" w14:paraId="6180CBF2" w14:textId="77777777" w:rsidTr="001E0CFF">
        <w:trPr>
          <w:gridAfter w:val="3"/>
          <w:wAfter w:w="2114" w:type="dxa"/>
          <w:trHeight w:val="585"/>
        </w:trPr>
        <w:tc>
          <w:tcPr>
            <w:tcW w:w="2835" w:type="dxa"/>
            <w:tcBorders>
              <w:top w:val="nil"/>
              <w:left w:val="nil"/>
              <w:bottom w:val="single" w:sz="4" w:space="0" w:color="auto"/>
              <w:right w:val="nil"/>
            </w:tcBorders>
            <w:shd w:val="clear" w:color="auto" w:fill="auto"/>
            <w:noWrap/>
            <w:hideMark/>
          </w:tcPr>
          <w:p w14:paraId="7D5339FC" w14:textId="77777777" w:rsidR="001E0CFF" w:rsidRPr="001E0CFF" w:rsidRDefault="001E0CFF" w:rsidP="001E0CFF">
            <w:pPr>
              <w:rPr>
                <w:rFonts w:ascii="Times New Roman" w:eastAsia="Times New Roman" w:hAnsi="Times New Roman" w:cs="Times New Roman"/>
                <w:i/>
                <w:iCs/>
                <w:color w:val="000000"/>
                <w:sz w:val="20"/>
                <w:szCs w:val="20"/>
              </w:rPr>
            </w:pPr>
            <w:r w:rsidRPr="001E0CFF">
              <w:rPr>
                <w:rFonts w:ascii="Times New Roman" w:eastAsia="Times New Roman" w:hAnsi="Times New Roman" w:cs="Times New Roman"/>
                <w:i/>
                <w:iCs/>
                <w:color w:val="000000"/>
                <w:sz w:val="20"/>
                <w:szCs w:val="20"/>
              </w:rPr>
              <w:t>STD DEV RETURNS</w:t>
            </w:r>
          </w:p>
        </w:tc>
        <w:tc>
          <w:tcPr>
            <w:tcW w:w="6096" w:type="dxa"/>
            <w:gridSpan w:val="3"/>
            <w:tcBorders>
              <w:top w:val="nil"/>
              <w:left w:val="nil"/>
              <w:bottom w:val="single" w:sz="4" w:space="0" w:color="auto"/>
              <w:right w:val="nil"/>
            </w:tcBorders>
            <w:shd w:val="clear" w:color="auto" w:fill="auto"/>
            <w:vAlign w:val="bottom"/>
            <w:hideMark/>
          </w:tcPr>
          <w:p w14:paraId="7CE46843" w14:textId="5C52DF1A" w:rsidR="001E0CFF" w:rsidRPr="001E0CFF" w:rsidRDefault="001E0CFF" w:rsidP="001E0CFF">
            <w:pPr>
              <w:rPr>
                <w:rFonts w:ascii="Times New Roman" w:eastAsia="Times New Roman" w:hAnsi="Times New Roman" w:cs="Times New Roman"/>
                <w:color w:val="000000"/>
                <w:sz w:val="20"/>
                <w:szCs w:val="20"/>
              </w:rPr>
            </w:pPr>
            <w:r w:rsidRPr="001E0CFF">
              <w:rPr>
                <w:rFonts w:ascii="Times New Roman" w:eastAsia="Times New Roman" w:hAnsi="Times New Roman" w:cs="Times New Roman"/>
                <w:color w:val="000000"/>
                <w:sz w:val="20"/>
                <w:szCs w:val="20"/>
              </w:rPr>
              <w:t xml:space="preserve">Standard deviation of monthly abnormal returns for </w:t>
            </w:r>
            <w:r w:rsidR="005E20DB">
              <w:rPr>
                <w:rFonts w:ascii="Times New Roman" w:eastAsia="Times New Roman" w:hAnsi="Times New Roman" w:cs="Times New Roman"/>
                <w:color w:val="000000"/>
                <w:sz w:val="20"/>
                <w:szCs w:val="20"/>
              </w:rPr>
              <w:t xml:space="preserve">the </w:t>
            </w:r>
            <w:r w:rsidRPr="001E0CFF">
              <w:rPr>
                <w:rFonts w:ascii="Times New Roman" w:eastAsia="Times New Roman" w:hAnsi="Times New Roman" w:cs="Times New Roman"/>
                <w:color w:val="000000"/>
                <w:sz w:val="20"/>
                <w:szCs w:val="20"/>
              </w:rPr>
              <w:t>past 12 months. BSE Sensex 30 was used as a proxy for market</w:t>
            </w:r>
          </w:p>
        </w:tc>
      </w:tr>
    </w:tbl>
    <w:p w14:paraId="6BBE0393" w14:textId="40291EBC" w:rsidR="00054D27" w:rsidRDefault="00054D27" w:rsidP="00E60E8A">
      <w:pPr>
        <w:spacing w:line="480" w:lineRule="auto"/>
        <w:jc w:val="both"/>
        <w:rPr>
          <w:sz w:val="24"/>
        </w:rPr>
      </w:pPr>
    </w:p>
    <w:p w14:paraId="0024EBD4" w14:textId="77777777" w:rsidR="009C2980" w:rsidRDefault="009C2980">
      <w:pPr>
        <w:jc w:val="both"/>
        <w:rPr>
          <w:b/>
          <w:sz w:val="24"/>
        </w:rPr>
      </w:pPr>
      <w:r>
        <w:rPr>
          <w:b/>
          <w:sz w:val="24"/>
        </w:rPr>
        <w:br w:type="page"/>
      </w:r>
    </w:p>
    <w:p w14:paraId="048CF5BB" w14:textId="55CBA279" w:rsidR="00054D27" w:rsidRDefault="001E0CFF" w:rsidP="00572CE8">
      <w:pPr>
        <w:jc w:val="both"/>
        <w:rPr>
          <w:b/>
          <w:sz w:val="24"/>
        </w:rPr>
      </w:pPr>
      <w:r w:rsidRPr="001E0CFF">
        <w:rPr>
          <w:b/>
          <w:sz w:val="24"/>
        </w:rPr>
        <w:lastRenderedPageBreak/>
        <w:t>Table 1 Descriptive Statistics</w:t>
      </w:r>
    </w:p>
    <w:p w14:paraId="7C3FB57A" w14:textId="77777777" w:rsidR="00572CE8" w:rsidRPr="001E0CFF" w:rsidRDefault="00572CE8" w:rsidP="00572CE8">
      <w:pPr>
        <w:jc w:val="both"/>
        <w:rPr>
          <w:b/>
          <w:sz w:val="24"/>
        </w:rPr>
      </w:pPr>
    </w:p>
    <w:p w14:paraId="3897C23D" w14:textId="413C931B" w:rsidR="001E0CFF" w:rsidRDefault="00572CE8" w:rsidP="00572CE8">
      <w:pPr>
        <w:jc w:val="both"/>
        <w:rPr>
          <w:sz w:val="20"/>
          <w:szCs w:val="20"/>
        </w:rPr>
      </w:pPr>
      <w:r>
        <w:rPr>
          <w:sz w:val="20"/>
          <w:szCs w:val="20"/>
        </w:rPr>
        <w:t>This table reports the descriptive statistics of the variables. The unit of observation is a resolution on related party transactions which requires approval by disinterested shareholders. The initial sample includes 663 resolutions from 2014 to 2018.</w:t>
      </w:r>
    </w:p>
    <w:p w14:paraId="3AA37923" w14:textId="77777777" w:rsidR="00572CE8" w:rsidRPr="00572CE8" w:rsidRDefault="00572CE8" w:rsidP="00572CE8">
      <w:pPr>
        <w:jc w:val="both"/>
        <w:rPr>
          <w:sz w:val="20"/>
          <w:szCs w:val="20"/>
        </w:rPr>
      </w:pPr>
    </w:p>
    <w:tbl>
      <w:tblPr>
        <w:tblW w:w="9498" w:type="dxa"/>
        <w:tblLook w:val="04A0" w:firstRow="1" w:lastRow="0" w:firstColumn="1" w:lastColumn="0" w:noHBand="0" w:noVBand="1"/>
      </w:tblPr>
      <w:tblGrid>
        <w:gridCol w:w="3261"/>
        <w:gridCol w:w="567"/>
        <w:gridCol w:w="821"/>
        <w:gridCol w:w="821"/>
        <w:gridCol w:w="767"/>
        <w:gridCol w:w="821"/>
        <w:gridCol w:w="938"/>
        <w:gridCol w:w="766"/>
        <w:gridCol w:w="916"/>
      </w:tblGrid>
      <w:tr w:rsidR="001E0CFF" w:rsidRPr="002B3278" w14:paraId="41AA51FA" w14:textId="77777777" w:rsidTr="002B3278">
        <w:trPr>
          <w:trHeight w:val="300"/>
        </w:trPr>
        <w:tc>
          <w:tcPr>
            <w:tcW w:w="3261" w:type="dxa"/>
            <w:tcBorders>
              <w:top w:val="single" w:sz="4" w:space="0" w:color="auto"/>
              <w:left w:val="nil"/>
              <w:bottom w:val="single" w:sz="4" w:space="0" w:color="auto"/>
              <w:right w:val="nil"/>
            </w:tcBorders>
            <w:shd w:val="clear" w:color="auto" w:fill="auto"/>
            <w:noWrap/>
            <w:vAlign w:val="bottom"/>
            <w:hideMark/>
          </w:tcPr>
          <w:p w14:paraId="111062D0"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Variable</w:t>
            </w:r>
          </w:p>
        </w:tc>
        <w:tc>
          <w:tcPr>
            <w:tcW w:w="567" w:type="dxa"/>
            <w:tcBorders>
              <w:top w:val="single" w:sz="4" w:space="0" w:color="auto"/>
              <w:left w:val="nil"/>
              <w:bottom w:val="single" w:sz="4" w:space="0" w:color="auto"/>
              <w:right w:val="nil"/>
            </w:tcBorders>
            <w:shd w:val="clear" w:color="auto" w:fill="auto"/>
            <w:noWrap/>
            <w:vAlign w:val="bottom"/>
            <w:hideMark/>
          </w:tcPr>
          <w:p w14:paraId="3CAB8A7F"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N</w:t>
            </w:r>
          </w:p>
        </w:tc>
        <w:tc>
          <w:tcPr>
            <w:tcW w:w="821" w:type="dxa"/>
            <w:tcBorders>
              <w:top w:val="single" w:sz="4" w:space="0" w:color="auto"/>
              <w:left w:val="nil"/>
              <w:bottom w:val="single" w:sz="4" w:space="0" w:color="auto"/>
              <w:right w:val="nil"/>
            </w:tcBorders>
            <w:shd w:val="clear" w:color="auto" w:fill="auto"/>
            <w:noWrap/>
            <w:vAlign w:val="bottom"/>
            <w:hideMark/>
          </w:tcPr>
          <w:p w14:paraId="1BED082D"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Mean</w:t>
            </w:r>
          </w:p>
        </w:tc>
        <w:tc>
          <w:tcPr>
            <w:tcW w:w="821" w:type="dxa"/>
            <w:tcBorders>
              <w:top w:val="single" w:sz="4" w:space="0" w:color="auto"/>
              <w:left w:val="nil"/>
              <w:bottom w:val="single" w:sz="4" w:space="0" w:color="auto"/>
              <w:right w:val="nil"/>
            </w:tcBorders>
            <w:shd w:val="clear" w:color="auto" w:fill="auto"/>
            <w:noWrap/>
            <w:vAlign w:val="bottom"/>
            <w:hideMark/>
          </w:tcPr>
          <w:p w14:paraId="6F5F583F"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S.D.</w:t>
            </w:r>
          </w:p>
        </w:tc>
        <w:tc>
          <w:tcPr>
            <w:tcW w:w="767" w:type="dxa"/>
            <w:tcBorders>
              <w:top w:val="single" w:sz="4" w:space="0" w:color="auto"/>
              <w:left w:val="nil"/>
              <w:bottom w:val="single" w:sz="4" w:space="0" w:color="auto"/>
              <w:right w:val="nil"/>
            </w:tcBorders>
            <w:shd w:val="clear" w:color="auto" w:fill="auto"/>
            <w:noWrap/>
            <w:vAlign w:val="bottom"/>
            <w:hideMark/>
          </w:tcPr>
          <w:p w14:paraId="37C9680A"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Min</w:t>
            </w:r>
          </w:p>
        </w:tc>
        <w:tc>
          <w:tcPr>
            <w:tcW w:w="821" w:type="dxa"/>
            <w:tcBorders>
              <w:top w:val="single" w:sz="4" w:space="0" w:color="auto"/>
              <w:left w:val="nil"/>
              <w:bottom w:val="single" w:sz="4" w:space="0" w:color="auto"/>
              <w:right w:val="nil"/>
            </w:tcBorders>
            <w:shd w:val="clear" w:color="auto" w:fill="auto"/>
            <w:noWrap/>
            <w:vAlign w:val="bottom"/>
            <w:hideMark/>
          </w:tcPr>
          <w:p w14:paraId="44A92AEA" w14:textId="565D401F"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Q1</w:t>
            </w:r>
          </w:p>
        </w:tc>
        <w:tc>
          <w:tcPr>
            <w:tcW w:w="938" w:type="dxa"/>
            <w:tcBorders>
              <w:top w:val="single" w:sz="4" w:space="0" w:color="auto"/>
              <w:left w:val="nil"/>
              <w:bottom w:val="single" w:sz="4" w:space="0" w:color="auto"/>
              <w:right w:val="nil"/>
            </w:tcBorders>
            <w:shd w:val="clear" w:color="auto" w:fill="auto"/>
            <w:noWrap/>
            <w:vAlign w:val="bottom"/>
            <w:hideMark/>
          </w:tcPr>
          <w:p w14:paraId="28E02056"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Median</w:t>
            </w:r>
          </w:p>
        </w:tc>
        <w:tc>
          <w:tcPr>
            <w:tcW w:w="766" w:type="dxa"/>
            <w:tcBorders>
              <w:top w:val="single" w:sz="4" w:space="0" w:color="auto"/>
              <w:left w:val="nil"/>
              <w:bottom w:val="single" w:sz="4" w:space="0" w:color="auto"/>
              <w:right w:val="nil"/>
            </w:tcBorders>
            <w:shd w:val="clear" w:color="auto" w:fill="auto"/>
            <w:noWrap/>
            <w:vAlign w:val="bottom"/>
            <w:hideMark/>
          </w:tcPr>
          <w:p w14:paraId="3945481A" w14:textId="376562BD"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Q3</w:t>
            </w:r>
          </w:p>
        </w:tc>
        <w:tc>
          <w:tcPr>
            <w:tcW w:w="736" w:type="dxa"/>
            <w:tcBorders>
              <w:top w:val="single" w:sz="4" w:space="0" w:color="auto"/>
              <w:left w:val="nil"/>
              <w:bottom w:val="single" w:sz="4" w:space="0" w:color="auto"/>
              <w:right w:val="nil"/>
            </w:tcBorders>
            <w:shd w:val="clear" w:color="auto" w:fill="auto"/>
            <w:noWrap/>
            <w:vAlign w:val="bottom"/>
            <w:hideMark/>
          </w:tcPr>
          <w:p w14:paraId="31EBE483" w14:textId="77777777" w:rsidR="001E0CFF" w:rsidRPr="002B3278" w:rsidRDefault="001E0CFF" w:rsidP="001E0CFF">
            <w:pPr>
              <w:jc w:val="center"/>
              <w:rPr>
                <w:rFonts w:eastAsia="Times New Roman" w:cstheme="minorHAnsi"/>
                <w:b/>
                <w:bCs/>
                <w:color w:val="000000"/>
                <w:sz w:val="20"/>
                <w:szCs w:val="20"/>
              </w:rPr>
            </w:pPr>
            <w:r w:rsidRPr="002B3278">
              <w:rPr>
                <w:rFonts w:eastAsia="Times New Roman" w:cstheme="minorHAnsi"/>
                <w:b/>
                <w:bCs/>
                <w:color w:val="000000"/>
                <w:sz w:val="20"/>
                <w:szCs w:val="20"/>
              </w:rPr>
              <w:t>Max</w:t>
            </w:r>
          </w:p>
        </w:tc>
      </w:tr>
      <w:tr w:rsidR="001E0CFF" w:rsidRPr="002B3278" w14:paraId="75051B29" w14:textId="77777777" w:rsidTr="002B3278">
        <w:trPr>
          <w:trHeight w:val="300"/>
        </w:trPr>
        <w:tc>
          <w:tcPr>
            <w:tcW w:w="3261" w:type="dxa"/>
            <w:tcBorders>
              <w:top w:val="nil"/>
              <w:left w:val="nil"/>
              <w:bottom w:val="nil"/>
              <w:right w:val="nil"/>
            </w:tcBorders>
            <w:shd w:val="clear" w:color="auto" w:fill="auto"/>
            <w:noWrap/>
            <w:vAlign w:val="bottom"/>
            <w:hideMark/>
          </w:tcPr>
          <w:p w14:paraId="3E17BC3C"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Total participation:</w:t>
            </w:r>
          </w:p>
        </w:tc>
        <w:tc>
          <w:tcPr>
            <w:tcW w:w="567" w:type="dxa"/>
            <w:tcBorders>
              <w:top w:val="nil"/>
              <w:left w:val="nil"/>
              <w:bottom w:val="nil"/>
              <w:right w:val="nil"/>
            </w:tcBorders>
            <w:shd w:val="clear" w:color="auto" w:fill="auto"/>
            <w:noWrap/>
            <w:vAlign w:val="bottom"/>
            <w:hideMark/>
          </w:tcPr>
          <w:p w14:paraId="2F9D3086" w14:textId="77777777" w:rsidR="001E0CFF" w:rsidRPr="002B3278" w:rsidRDefault="001E0CFF" w:rsidP="001E0CFF">
            <w:pPr>
              <w:rPr>
                <w:rFonts w:eastAsia="Times New Roman" w:cstheme="minorHAnsi"/>
                <w:b/>
                <w:bCs/>
                <w:color w:val="000000"/>
                <w:sz w:val="20"/>
                <w:szCs w:val="20"/>
              </w:rPr>
            </w:pPr>
          </w:p>
        </w:tc>
        <w:tc>
          <w:tcPr>
            <w:tcW w:w="821" w:type="dxa"/>
            <w:tcBorders>
              <w:top w:val="nil"/>
              <w:left w:val="nil"/>
              <w:bottom w:val="nil"/>
              <w:right w:val="nil"/>
            </w:tcBorders>
            <w:shd w:val="clear" w:color="auto" w:fill="auto"/>
            <w:noWrap/>
            <w:vAlign w:val="bottom"/>
            <w:hideMark/>
          </w:tcPr>
          <w:p w14:paraId="3C5B5FA5"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1871040D"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42B528A9"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AE5AF3D"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18809AD1"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18C00DBC"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1ADB958E" w14:textId="77777777" w:rsidR="001E0CFF" w:rsidRPr="002B3278" w:rsidRDefault="001E0CFF" w:rsidP="001E0CFF">
            <w:pPr>
              <w:rPr>
                <w:rFonts w:eastAsia="Times New Roman" w:cstheme="minorHAnsi"/>
                <w:sz w:val="20"/>
                <w:szCs w:val="20"/>
              </w:rPr>
            </w:pPr>
          </w:p>
        </w:tc>
      </w:tr>
      <w:tr w:rsidR="001E0CFF" w:rsidRPr="002B3278" w14:paraId="29309CEC" w14:textId="77777777" w:rsidTr="002B3278">
        <w:trPr>
          <w:trHeight w:val="300"/>
        </w:trPr>
        <w:tc>
          <w:tcPr>
            <w:tcW w:w="3261" w:type="dxa"/>
            <w:tcBorders>
              <w:top w:val="nil"/>
              <w:left w:val="nil"/>
              <w:bottom w:val="nil"/>
              <w:right w:val="nil"/>
            </w:tcBorders>
            <w:shd w:val="clear" w:color="auto" w:fill="auto"/>
            <w:noWrap/>
            <w:vAlign w:val="bottom"/>
            <w:hideMark/>
          </w:tcPr>
          <w:p w14:paraId="5FEFE509"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TOTAL PARTICIPATION</w:t>
            </w:r>
          </w:p>
        </w:tc>
        <w:tc>
          <w:tcPr>
            <w:tcW w:w="567" w:type="dxa"/>
            <w:tcBorders>
              <w:top w:val="nil"/>
              <w:left w:val="nil"/>
              <w:bottom w:val="nil"/>
              <w:right w:val="nil"/>
            </w:tcBorders>
            <w:shd w:val="clear" w:color="auto" w:fill="auto"/>
            <w:noWrap/>
            <w:vAlign w:val="bottom"/>
            <w:hideMark/>
          </w:tcPr>
          <w:p w14:paraId="11326EE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609</w:t>
            </w:r>
          </w:p>
        </w:tc>
        <w:tc>
          <w:tcPr>
            <w:tcW w:w="821" w:type="dxa"/>
            <w:tcBorders>
              <w:top w:val="nil"/>
              <w:left w:val="nil"/>
              <w:bottom w:val="nil"/>
              <w:right w:val="nil"/>
            </w:tcBorders>
            <w:shd w:val="clear" w:color="auto" w:fill="auto"/>
            <w:noWrap/>
            <w:vAlign w:val="bottom"/>
            <w:hideMark/>
          </w:tcPr>
          <w:p w14:paraId="56D5453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44.28</w:t>
            </w:r>
          </w:p>
        </w:tc>
        <w:tc>
          <w:tcPr>
            <w:tcW w:w="821" w:type="dxa"/>
            <w:tcBorders>
              <w:top w:val="nil"/>
              <w:left w:val="nil"/>
              <w:bottom w:val="nil"/>
              <w:right w:val="nil"/>
            </w:tcBorders>
            <w:shd w:val="clear" w:color="auto" w:fill="auto"/>
            <w:noWrap/>
            <w:vAlign w:val="bottom"/>
            <w:hideMark/>
          </w:tcPr>
          <w:p w14:paraId="4ECD631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20.58</w:t>
            </w:r>
          </w:p>
        </w:tc>
        <w:tc>
          <w:tcPr>
            <w:tcW w:w="767" w:type="dxa"/>
            <w:tcBorders>
              <w:top w:val="nil"/>
              <w:left w:val="nil"/>
              <w:bottom w:val="nil"/>
              <w:right w:val="nil"/>
            </w:tcBorders>
            <w:shd w:val="clear" w:color="auto" w:fill="auto"/>
            <w:noWrap/>
            <w:vAlign w:val="bottom"/>
            <w:hideMark/>
          </w:tcPr>
          <w:p w14:paraId="38602D5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2.08</w:t>
            </w:r>
          </w:p>
        </w:tc>
        <w:tc>
          <w:tcPr>
            <w:tcW w:w="821" w:type="dxa"/>
            <w:tcBorders>
              <w:top w:val="nil"/>
              <w:left w:val="nil"/>
              <w:bottom w:val="nil"/>
              <w:right w:val="nil"/>
            </w:tcBorders>
            <w:shd w:val="clear" w:color="auto" w:fill="auto"/>
            <w:noWrap/>
            <w:vAlign w:val="bottom"/>
            <w:hideMark/>
          </w:tcPr>
          <w:p w14:paraId="5CB872B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29.50</w:t>
            </w:r>
          </w:p>
        </w:tc>
        <w:tc>
          <w:tcPr>
            <w:tcW w:w="938" w:type="dxa"/>
            <w:tcBorders>
              <w:top w:val="nil"/>
              <w:left w:val="nil"/>
              <w:bottom w:val="nil"/>
              <w:right w:val="nil"/>
            </w:tcBorders>
            <w:shd w:val="clear" w:color="auto" w:fill="auto"/>
            <w:noWrap/>
            <w:vAlign w:val="bottom"/>
            <w:hideMark/>
          </w:tcPr>
          <w:p w14:paraId="2B14D57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44.90</w:t>
            </w:r>
          </w:p>
        </w:tc>
        <w:tc>
          <w:tcPr>
            <w:tcW w:w="766" w:type="dxa"/>
            <w:tcBorders>
              <w:top w:val="nil"/>
              <w:left w:val="nil"/>
              <w:bottom w:val="nil"/>
              <w:right w:val="nil"/>
            </w:tcBorders>
            <w:shd w:val="clear" w:color="auto" w:fill="auto"/>
            <w:noWrap/>
            <w:vAlign w:val="bottom"/>
            <w:hideMark/>
          </w:tcPr>
          <w:p w14:paraId="594DA53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59.90</w:t>
            </w:r>
          </w:p>
        </w:tc>
        <w:tc>
          <w:tcPr>
            <w:tcW w:w="736" w:type="dxa"/>
            <w:tcBorders>
              <w:top w:val="nil"/>
              <w:left w:val="nil"/>
              <w:bottom w:val="nil"/>
              <w:right w:val="nil"/>
            </w:tcBorders>
            <w:shd w:val="clear" w:color="auto" w:fill="auto"/>
            <w:noWrap/>
            <w:vAlign w:val="bottom"/>
            <w:hideMark/>
          </w:tcPr>
          <w:p w14:paraId="12C84CA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27C947D5" w14:textId="77777777" w:rsidTr="002B3278">
        <w:trPr>
          <w:trHeight w:val="300"/>
        </w:trPr>
        <w:tc>
          <w:tcPr>
            <w:tcW w:w="3261" w:type="dxa"/>
            <w:tcBorders>
              <w:top w:val="nil"/>
              <w:left w:val="nil"/>
              <w:bottom w:val="nil"/>
              <w:right w:val="nil"/>
            </w:tcBorders>
            <w:shd w:val="clear" w:color="auto" w:fill="auto"/>
            <w:noWrap/>
            <w:vAlign w:val="bottom"/>
            <w:hideMark/>
          </w:tcPr>
          <w:p w14:paraId="4900DACE"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INVESTORS IN FAVOUR</w:t>
            </w:r>
          </w:p>
        </w:tc>
        <w:tc>
          <w:tcPr>
            <w:tcW w:w="567" w:type="dxa"/>
            <w:tcBorders>
              <w:top w:val="nil"/>
              <w:left w:val="nil"/>
              <w:bottom w:val="nil"/>
              <w:right w:val="nil"/>
            </w:tcBorders>
            <w:shd w:val="clear" w:color="auto" w:fill="auto"/>
            <w:noWrap/>
            <w:vAlign w:val="bottom"/>
            <w:hideMark/>
          </w:tcPr>
          <w:p w14:paraId="40D6FF3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598</w:t>
            </w:r>
          </w:p>
        </w:tc>
        <w:tc>
          <w:tcPr>
            <w:tcW w:w="821" w:type="dxa"/>
            <w:tcBorders>
              <w:top w:val="nil"/>
              <w:left w:val="nil"/>
              <w:bottom w:val="nil"/>
              <w:right w:val="nil"/>
            </w:tcBorders>
            <w:shd w:val="clear" w:color="auto" w:fill="auto"/>
            <w:noWrap/>
            <w:vAlign w:val="bottom"/>
            <w:hideMark/>
          </w:tcPr>
          <w:p w14:paraId="13095D1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94.84</w:t>
            </w:r>
          </w:p>
        </w:tc>
        <w:tc>
          <w:tcPr>
            <w:tcW w:w="821" w:type="dxa"/>
            <w:tcBorders>
              <w:top w:val="nil"/>
              <w:left w:val="nil"/>
              <w:bottom w:val="nil"/>
              <w:right w:val="nil"/>
            </w:tcBorders>
            <w:shd w:val="clear" w:color="auto" w:fill="auto"/>
            <w:noWrap/>
            <w:vAlign w:val="bottom"/>
            <w:hideMark/>
          </w:tcPr>
          <w:p w14:paraId="6944DDB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12.89</w:t>
            </w:r>
          </w:p>
        </w:tc>
        <w:tc>
          <w:tcPr>
            <w:tcW w:w="767" w:type="dxa"/>
            <w:tcBorders>
              <w:top w:val="nil"/>
              <w:left w:val="nil"/>
              <w:bottom w:val="nil"/>
              <w:right w:val="nil"/>
            </w:tcBorders>
            <w:shd w:val="clear" w:color="auto" w:fill="auto"/>
            <w:noWrap/>
            <w:vAlign w:val="bottom"/>
            <w:hideMark/>
          </w:tcPr>
          <w:p w14:paraId="11FBD08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1.70</w:t>
            </w:r>
          </w:p>
        </w:tc>
        <w:tc>
          <w:tcPr>
            <w:tcW w:w="821" w:type="dxa"/>
            <w:tcBorders>
              <w:top w:val="nil"/>
              <w:left w:val="nil"/>
              <w:bottom w:val="nil"/>
              <w:right w:val="nil"/>
            </w:tcBorders>
            <w:shd w:val="clear" w:color="auto" w:fill="auto"/>
            <w:noWrap/>
            <w:vAlign w:val="bottom"/>
            <w:hideMark/>
          </w:tcPr>
          <w:p w14:paraId="047C040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97.50</w:t>
            </w:r>
          </w:p>
        </w:tc>
        <w:tc>
          <w:tcPr>
            <w:tcW w:w="938" w:type="dxa"/>
            <w:tcBorders>
              <w:top w:val="nil"/>
              <w:left w:val="nil"/>
              <w:bottom w:val="nil"/>
              <w:right w:val="nil"/>
            </w:tcBorders>
            <w:shd w:val="clear" w:color="auto" w:fill="auto"/>
            <w:noWrap/>
            <w:vAlign w:val="bottom"/>
            <w:hideMark/>
          </w:tcPr>
          <w:p w14:paraId="24B3DF8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99.97</w:t>
            </w:r>
          </w:p>
        </w:tc>
        <w:tc>
          <w:tcPr>
            <w:tcW w:w="766" w:type="dxa"/>
            <w:tcBorders>
              <w:top w:val="nil"/>
              <w:left w:val="nil"/>
              <w:bottom w:val="nil"/>
              <w:right w:val="nil"/>
            </w:tcBorders>
            <w:shd w:val="clear" w:color="auto" w:fill="auto"/>
            <w:noWrap/>
            <w:vAlign w:val="bottom"/>
            <w:hideMark/>
          </w:tcPr>
          <w:p w14:paraId="23932D7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c>
          <w:tcPr>
            <w:tcW w:w="736" w:type="dxa"/>
            <w:tcBorders>
              <w:top w:val="nil"/>
              <w:left w:val="nil"/>
              <w:bottom w:val="nil"/>
              <w:right w:val="nil"/>
            </w:tcBorders>
            <w:shd w:val="clear" w:color="auto" w:fill="auto"/>
            <w:noWrap/>
            <w:vAlign w:val="bottom"/>
            <w:hideMark/>
          </w:tcPr>
          <w:p w14:paraId="6043E58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0911F1C6" w14:textId="77777777" w:rsidTr="002B3278">
        <w:trPr>
          <w:trHeight w:val="300"/>
        </w:trPr>
        <w:tc>
          <w:tcPr>
            <w:tcW w:w="3261" w:type="dxa"/>
            <w:tcBorders>
              <w:top w:val="nil"/>
              <w:left w:val="nil"/>
              <w:bottom w:val="nil"/>
              <w:right w:val="nil"/>
            </w:tcBorders>
            <w:shd w:val="clear" w:color="auto" w:fill="auto"/>
            <w:noWrap/>
            <w:vAlign w:val="bottom"/>
            <w:hideMark/>
          </w:tcPr>
          <w:p w14:paraId="6FD57D69" w14:textId="77777777" w:rsidR="001E0CFF" w:rsidRPr="002B3278" w:rsidRDefault="001E0CFF" w:rsidP="001E0CFF">
            <w:pPr>
              <w:jc w:val="right"/>
              <w:rPr>
                <w:rFonts w:eastAsia="Times New Roman" w:cstheme="minorHAnsi"/>
                <w:color w:val="000000"/>
                <w:sz w:val="20"/>
                <w:szCs w:val="20"/>
              </w:rPr>
            </w:pPr>
          </w:p>
        </w:tc>
        <w:tc>
          <w:tcPr>
            <w:tcW w:w="567" w:type="dxa"/>
            <w:tcBorders>
              <w:top w:val="nil"/>
              <w:left w:val="nil"/>
              <w:bottom w:val="nil"/>
              <w:right w:val="nil"/>
            </w:tcBorders>
            <w:shd w:val="clear" w:color="auto" w:fill="auto"/>
            <w:noWrap/>
            <w:vAlign w:val="bottom"/>
            <w:hideMark/>
          </w:tcPr>
          <w:p w14:paraId="6C390679"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62BA4E5C" w14:textId="77777777" w:rsidR="001E0CFF" w:rsidRPr="002B3278" w:rsidRDefault="001E0CFF" w:rsidP="001E0CFF">
            <w:pPr>
              <w:jc w:val="cente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205D09BF" w14:textId="77777777" w:rsidR="001E0CFF" w:rsidRPr="002B3278" w:rsidRDefault="001E0CFF" w:rsidP="001E0CFF">
            <w:pPr>
              <w:jc w:val="cente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2C4BB490" w14:textId="77777777" w:rsidR="001E0CFF" w:rsidRPr="002B3278" w:rsidRDefault="001E0CFF" w:rsidP="001E0CFF">
            <w:pPr>
              <w:jc w:val="cente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6F5AB96C" w14:textId="77777777" w:rsidR="001E0CFF" w:rsidRPr="002B3278" w:rsidRDefault="001E0CFF" w:rsidP="001E0CFF">
            <w:pPr>
              <w:jc w:val="cente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06885E85" w14:textId="77777777" w:rsidR="001E0CFF" w:rsidRPr="002B3278" w:rsidRDefault="001E0CFF" w:rsidP="001E0CFF">
            <w:pPr>
              <w:jc w:val="cente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389ED894" w14:textId="77777777" w:rsidR="001E0CFF" w:rsidRPr="002B3278" w:rsidRDefault="001E0CFF" w:rsidP="001E0CFF">
            <w:pPr>
              <w:jc w:val="cente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40E76B73" w14:textId="77777777" w:rsidR="001E0CFF" w:rsidRPr="002B3278" w:rsidRDefault="001E0CFF" w:rsidP="001E0CFF">
            <w:pPr>
              <w:jc w:val="center"/>
              <w:rPr>
                <w:rFonts w:eastAsia="Times New Roman" w:cstheme="minorHAnsi"/>
                <w:sz w:val="20"/>
                <w:szCs w:val="20"/>
              </w:rPr>
            </w:pPr>
          </w:p>
        </w:tc>
      </w:tr>
      <w:tr w:rsidR="001E0CFF" w:rsidRPr="002B3278" w14:paraId="01CE9275" w14:textId="77777777" w:rsidTr="002B3278">
        <w:trPr>
          <w:trHeight w:val="300"/>
        </w:trPr>
        <w:tc>
          <w:tcPr>
            <w:tcW w:w="3261" w:type="dxa"/>
            <w:tcBorders>
              <w:top w:val="nil"/>
              <w:left w:val="nil"/>
              <w:bottom w:val="nil"/>
              <w:right w:val="nil"/>
            </w:tcBorders>
            <w:shd w:val="clear" w:color="auto" w:fill="auto"/>
            <w:noWrap/>
            <w:vAlign w:val="bottom"/>
            <w:hideMark/>
          </w:tcPr>
          <w:p w14:paraId="1074E7FD"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Institutional investors:</w:t>
            </w:r>
          </w:p>
        </w:tc>
        <w:tc>
          <w:tcPr>
            <w:tcW w:w="567" w:type="dxa"/>
            <w:tcBorders>
              <w:top w:val="nil"/>
              <w:left w:val="nil"/>
              <w:bottom w:val="nil"/>
              <w:right w:val="nil"/>
            </w:tcBorders>
            <w:shd w:val="clear" w:color="auto" w:fill="auto"/>
            <w:noWrap/>
            <w:vAlign w:val="bottom"/>
            <w:hideMark/>
          </w:tcPr>
          <w:p w14:paraId="6FF48B15" w14:textId="77777777" w:rsidR="001E0CFF" w:rsidRPr="002B3278" w:rsidRDefault="001E0CFF" w:rsidP="001E0CFF">
            <w:pPr>
              <w:rPr>
                <w:rFonts w:eastAsia="Times New Roman" w:cstheme="minorHAnsi"/>
                <w:b/>
                <w:bCs/>
                <w:color w:val="000000"/>
                <w:sz w:val="20"/>
                <w:szCs w:val="20"/>
              </w:rPr>
            </w:pPr>
          </w:p>
        </w:tc>
        <w:tc>
          <w:tcPr>
            <w:tcW w:w="821" w:type="dxa"/>
            <w:tcBorders>
              <w:top w:val="nil"/>
              <w:left w:val="nil"/>
              <w:bottom w:val="nil"/>
              <w:right w:val="nil"/>
            </w:tcBorders>
            <w:shd w:val="clear" w:color="auto" w:fill="auto"/>
            <w:noWrap/>
            <w:vAlign w:val="bottom"/>
            <w:hideMark/>
          </w:tcPr>
          <w:p w14:paraId="13888AFC" w14:textId="77777777" w:rsidR="001E0CFF" w:rsidRPr="002B3278" w:rsidRDefault="001E0CFF" w:rsidP="001E0CFF">
            <w:pPr>
              <w:jc w:val="cente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78489DD1" w14:textId="77777777" w:rsidR="001E0CFF" w:rsidRPr="002B3278" w:rsidRDefault="001E0CFF" w:rsidP="001E0CFF">
            <w:pPr>
              <w:jc w:val="cente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14DB4494" w14:textId="77777777" w:rsidR="001E0CFF" w:rsidRPr="002B3278" w:rsidRDefault="001E0CFF" w:rsidP="001E0CFF">
            <w:pPr>
              <w:jc w:val="cente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AE299BD" w14:textId="77777777" w:rsidR="001E0CFF" w:rsidRPr="002B3278" w:rsidRDefault="001E0CFF" w:rsidP="001E0CFF">
            <w:pPr>
              <w:jc w:val="cente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2230B570" w14:textId="77777777" w:rsidR="001E0CFF" w:rsidRPr="002B3278" w:rsidRDefault="001E0CFF" w:rsidP="001E0CFF">
            <w:pPr>
              <w:jc w:val="cente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41AD51FE" w14:textId="77777777" w:rsidR="001E0CFF" w:rsidRPr="002B3278" w:rsidRDefault="001E0CFF" w:rsidP="001E0CFF">
            <w:pPr>
              <w:jc w:val="cente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312F61FA" w14:textId="77777777" w:rsidR="001E0CFF" w:rsidRPr="002B3278" w:rsidRDefault="001E0CFF" w:rsidP="001E0CFF">
            <w:pPr>
              <w:jc w:val="center"/>
              <w:rPr>
                <w:rFonts w:eastAsia="Times New Roman" w:cstheme="minorHAnsi"/>
                <w:sz w:val="20"/>
                <w:szCs w:val="20"/>
              </w:rPr>
            </w:pPr>
          </w:p>
        </w:tc>
      </w:tr>
      <w:tr w:rsidR="001E0CFF" w:rsidRPr="002B3278" w14:paraId="66CD7003" w14:textId="77777777" w:rsidTr="002B3278">
        <w:trPr>
          <w:trHeight w:val="300"/>
        </w:trPr>
        <w:tc>
          <w:tcPr>
            <w:tcW w:w="3261" w:type="dxa"/>
            <w:tcBorders>
              <w:top w:val="nil"/>
              <w:left w:val="nil"/>
              <w:bottom w:val="nil"/>
              <w:right w:val="nil"/>
            </w:tcBorders>
            <w:shd w:val="clear" w:color="auto" w:fill="auto"/>
            <w:noWrap/>
            <w:vAlign w:val="bottom"/>
            <w:hideMark/>
          </w:tcPr>
          <w:p w14:paraId="6CD555C9" w14:textId="44E60DFC"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HELD (in millions)</w:t>
            </w:r>
          </w:p>
        </w:tc>
        <w:tc>
          <w:tcPr>
            <w:tcW w:w="567" w:type="dxa"/>
            <w:tcBorders>
              <w:top w:val="nil"/>
              <w:left w:val="nil"/>
              <w:bottom w:val="nil"/>
              <w:right w:val="nil"/>
            </w:tcBorders>
            <w:shd w:val="clear" w:color="auto" w:fill="auto"/>
            <w:noWrap/>
            <w:vAlign w:val="bottom"/>
            <w:hideMark/>
          </w:tcPr>
          <w:p w14:paraId="4F49049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618</w:t>
            </w:r>
          </w:p>
        </w:tc>
        <w:tc>
          <w:tcPr>
            <w:tcW w:w="821" w:type="dxa"/>
            <w:tcBorders>
              <w:top w:val="nil"/>
              <w:left w:val="nil"/>
              <w:bottom w:val="nil"/>
              <w:right w:val="nil"/>
            </w:tcBorders>
            <w:shd w:val="clear" w:color="auto" w:fill="auto"/>
            <w:noWrap/>
            <w:vAlign w:val="bottom"/>
            <w:hideMark/>
          </w:tcPr>
          <w:p w14:paraId="3F412BE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127.57</w:t>
            </w:r>
          </w:p>
        </w:tc>
        <w:tc>
          <w:tcPr>
            <w:tcW w:w="821" w:type="dxa"/>
            <w:tcBorders>
              <w:top w:val="nil"/>
              <w:left w:val="nil"/>
              <w:bottom w:val="nil"/>
              <w:right w:val="nil"/>
            </w:tcBorders>
            <w:shd w:val="clear" w:color="auto" w:fill="auto"/>
            <w:noWrap/>
            <w:vAlign w:val="bottom"/>
            <w:hideMark/>
          </w:tcPr>
          <w:p w14:paraId="423D449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341.69</w:t>
            </w:r>
          </w:p>
        </w:tc>
        <w:tc>
          <w:tcPr>
            <w:tcW w:w="767" w:type="dxa"/>
            <w:tcBorders>
              <w:top w:val="nil"/>
              <w:left w:val="nil"/>
              <w:bottom w:val="nil"/>
              <w:right w:val="nil"/>
            </w:tcBorders>
            <w:shd w:val="clear" w:color="auto" w:fill="auto"/>
            <w:noWrap/>
            <w:vAlign w:val="bottom"/>
            <w:hideMark/>
          </w:tcPr>
          <w:p w14:paraId="437CECE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2A9965E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3.36</w:t>
            </w:r>
          </w:p>
        </w:tc>
        <w:tc>
          <w:tcPr>
            <w:tcW w:w="938" w:type="dxa"/>
            <w:tcBorders>
              <w:top w:val="nil"/>
              <w:left w:val="nil"/>
              <w:bottom w:val="nil"/>
              <w:right w:val="nil"/>
            </w:tcBorders>
            <w:shd w:val="clear" w:color="auto" w:fill="auto"/>
            <w:noWrap/>
            <w:vAlign w:val="bottom"/>
            <w:hideMark/>
          </w:tcPr>
          <w:p w14:paraId="59E674A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16.73</w:t>
            </w:r>
          </w:p>
        </w:tc>
        <w:tc>
          <w:tcPr>
            <w:tcW w:w="766" w:type="dxa"/>
            <w:tcBorders>
              <w:top w:val="nil"/>
              <w:left w:val="nil"/>
              <w:bottom w:val="nil"/>
              <w:right w:val="nil"/>
            </w:tcBorders>
            <w:shd w:val="clear" w:color="auto" w:fill="auto"/>
            <w:noWrap/>
            <w:vAlign w:val="bottom"/>
            <w:hideMark/>
          </w:tcPr>
          <w:p w14:paraId="7915230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66.41</w:t>
            </w:r>
          </w:p>
        </w:tc>
        <w:tc>
          <w:tcPr>
            <w:tcW w:w="736" w:type="dxa"/>
            <w:tcBorders>
              <w:top w:val="nil"/>
              <w:left w:val="nil"/>
              <w:bottom w:val="nil"/>
              <w:right w:val="nil"/>
            </w:tcBorders>
            <w:shd w:val="clear" w:color="auto" w:fill="auto"/>
            <w:noWrap/>
            <w:vAlign w:val="bottom"/>
            <w:hideMark/>
          </w:tcPr>
          <w:p w14:paraId="3AEE660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3,746.02</w:t>
            </w:r>
          </w:p>
        </w:tc>
      </w:tr>
      <w:tr w:rsidR="001E0CFF" w:rsidRPr="002B3278" w14:paraId="2EDFE617" w14:textId="77777777" w:rsidTr="002B3278">
        <w:trPr>
          <w:trHeight w:val="300"/>
        </w:trPr>
        <w:tc>
          <w:tcPr>
            <w:tcW w:w="3261" w:type="dxa"/>
            <w:tcBorders>
              <w:top w:val="nil"/>
              <w:left w:val="nil"/>
              <w:bottom w:val="nil"/>
              <w:right w:val="nil"/>
            </w:tcBorders>
            <w:shd w:val="clear" w:color="auto" w:fill="auto"/>
            <w:noWrap/>
            <w:vAlign w:val="bottom"/>
            <w:hideMark/>
          </w:tcPr>
          <w:p w14:paraId="724F0FE2" w14:textId="18107F49"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POLLED (in millions)</w:t>
            </w:r>
          </w:p>
        </w:tc>
        <w:tc>
          <w:tcPr>
            <w:tcW w:w="567" w:type="dxa"/>
            <w:tcBorders>
              <w:top w:val="nil"/>
              <w:left w:val="nil"/>
              <w:bottom w:val="nil"/>
              <w:right w:val="nil"/>
            </w:tcBorders>
            <w:shd w:val="clear" w:color="auto" w:fill="auto"/>
            <w:noWrap/>
            <w:vAlign w:val="bottom"/>
            <w:hideMark/>
          </w:tcPr>
          <w:p w14:paraId="5E21476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609</w:t>
            </w:r>
          </w:p>
        </w:tc>
        <w:tc>
          <w:tcPr>
            <w:tcW w:w="821" w:type="dxa"/>
            <w:tcBorders>
              <w:top w:val="nil"/>
              <w:left w:val="nil"/>
              <w:bottom w:val="nil"/>
              <w:right w:val="nil"/>
            </w:tcBorders>
            <w:shd w:val="clear" w:color="auto" w:fill="auto"/>
            <w:noWrap/>
            <w:vAlign w:val="bottom"/>
            <w:hideMark/>
          </w:tcPr>
          <w:p w14:paraId="3DBD802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93.38</w:t>
            </w:r>
          </w:p>
        </w:tc>
        <w:tc>
          <w:tcPr>
            <w:tcW w:w="821" w:type="dxa"/>
            <w:tcBorders>
              <w:top w:val="nil"/>
              <w:left w:val="nil"/>
              <w:bottom w:val="nil"/>
              <w:right w:val="nil"/>
            </w:tcBorders>
            <w:shd w:val="clear" w:color="auto" w:fill="auto"/>
            <w:noWrap/>
            <w:vAlign w:val="bottom"/>
            <w:hideMark/>
          </w:tcPr>
          <w:p w14:paraId="29EA3F6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279.64</w:t>
            </w:r>
          </w:p>
        </w:tc>
        <w:tc>
          <w:tcPr>
            <w:tcW w:w="767" w:type="dxa"/>
            <w:tcBorders>
              <w:top w:val="nil"/>
              <w:left w:val="nil"/>
              <w:bottom w:val="nil"/>
              <w:right w:val="nil"/>
            </w:tcBorders>
            <w:shd w:val="clear" w:color="auto" w:fill="auto"/>
            <w:noWrap/>
            <w:vAlign w:val="bottom"/>
            <w:hideMark/>
          </w:tcPr>
          <w:p w14:paraId="1A8FD14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0.02</w:t>
            </w:r>
          </w:p>
        </w:tc>
        <w:tc>
          <w:tcPr>
            <w:tcW w:w="821" w:type="dxa"/>
            <w:tcBorders>
              <w:top w:val="nil"/>
              <w:left w:val="nil"/>
              <w:bottom w:val="nil"/>
              <w:right w:val="nil"/>
            </w:tcBorders>
            <w:shd w:val="clear" w:color="auto" w:fill="auto"/>
            <w:noWrap/>
            <w:vAlign w:val="bottom"/>
            <w:hideMark/>
          </w:tcPr>
          <w:p w14:paraId="1A5B54E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2.49</w:t>
            </w:r>
          </w:p>
        </w:tc>
        <w:tc>
          <w:tcPr>
            <w:tcW w:w="938" w:type="dxa"/>
            <w:tcBorders>
              <w:top w:val="nil"/>
              <w:left w:val="nil"/>
              <w:bottom w:val="nil"/>
              <w:right w:val="nil"/>
            </w:tcBorders>
            <w:shd w:val="clear" w:color="auto" w:fill="auto"/>
            <w:noWrap/>
            <w:vAlign w:val="bottom"/>
            <w:hideMark/>
          </w:tcPr>
          <w:p w14:paraId="3CD3D9E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12.17</w:t>
            </w:r>
          </w:p>
        </w:tc>
        <w:tc>
          <w:tcPr>
            <w:tcW w:w="766" w:type="dxa"/>
            <w:tcBorders>
              <w:top w:val="nil"/>
              <w:left w:val="nil"/>
              <w:bottom w:val="nil"/>
              <w:right w:val="nil"/>
            </w:tcBorders>
            <w:shd w:val="clear" w:color="auto" w:fill="auto"/>
            <w:noWrap/>
            <w:vAlign w:val="bottom"/>
            <w:hideMark/>
          </w:tcPr>
          <w:p w14:paraId="265C876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41.62</w:t>
            </w:r>
          </w:p>
        </w:tc>
        <w:tc>
          <w:tcPr>
            <w:tcW w:w="736" w:type="dxa"/>
            <w:tcBorders>
              <w:top w:val="nil"/>
              <w:left w:val="nil"/>
              <w:bottom w:val="nil"/>
              <w:right w:val="nil"/>
            </w:tcBorders>
            <w:shd w:val="clear" w:color="auto" w:fill="auto"/>
            <w:noWrap/>
            <w:vAlign w:val="bottom"/>
            <w:hideMark/>
          </w:tcPr>
          <w:p w14:paraId="46C2811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3,429.13</w:t>
            </w:r>
          </w:p>
        </w:tc>
      </w:tr>
      <w:tr w:rsidR="001E0CFF" w:rsidRPr="002B3278" w14:paraId="269D26E7" w14:textId="77777777" w:rsidTr="002B3278">
        <w:trPr>
          <w:trHeight w:val="300"/>
        </w:trPr>
        <w:tc>
          <w:tcPr>
            <w:tcW w:w="3261" w:type="dxa"/>
            <w:tcBorders>
              <w:top w:val="nil"/>
              <w:left w:val="nil"/>
              <w:bottom w:val="nil"/>
              <w:right w:val="nil"/>
            </w:tcBorders>
            <w:shd w:val="clear" w:color="auto" w:fill="auto"/>
            <w:noWrap/>
            <w:vAlign w:val="bottom"/>
            <w:hideMark/>
          </w:tcPr>
          <w:p w14:paraId="5E8ACECE" w14:textId="6B96A8F2"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IN FAVOUR (in millions)</w:t>
            </w:r>
          </w:p>
        </w:tc>
        <w:tc>
          <w:tcPr>
            <w:tcW w:w="567" w:type="dxa"/>
            <w:tcBorders>
              <w:top w:val="nil"/>
              <w:left w:val="nil"/>
              <w:bottom w:val="nil"/>
              <w:right w:val="nil"/>
            </w:tcBorders>
            <w:shd w:val="clear" w:color="auto" w:fill="auto"/>
            <w:noWrap/>
            <w:vAlign w:val="bottom"/>
            <w:hideMark/>
          </w:tcPr>
          <w:p w14:paraId="0E2C957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599</w:t>
            </w:r>
          </w:p>
        </w:tc>
        <w:tc>
          <w:tcPr>
            <w:tcW w:w="821" w:type="dxa"/>
            <w:tcBorders>
              <w:top w:val="nil"/>
              <w:left w:val="nil"/>
              <w:bottom w:val="nil"/>
              <w:right w:val="nil"/>
            </w:tcBorders>
            <w:shd w:val="clear" w:color="auto" w:fill="auto"/>
            <w:noWrap/>
            <w:vAlign w:val="bottom"/>
            <w:hideMark/>
          </w:tcPr>
          <w:p w14:paraId="5F6FE8C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89.26</w:t>
            </w:r>
          </w:p>
        </w:tc>
        <w:tc>
          <w:tcPr>
            <w:tcW w:w="821" w:type="dxa"/>
            <w:tcBorders>
              <w:top w:val="nil"/>
              <w:left w:val="nil"/>
              <w:bottom w:val="nil"/>
              <w:right w:val="nil"/>
            </w:tcBorders>
            <w:shd w:val="clear" w:color="auto" w:fill="auto"/>
            <w:noWrap/>
            <w:vAlign w:val="bottom"/>
            <w:hideMark/>
          </w:tcPr>
          <w:p w14:paraId="6340EFC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268.01</w:t>
            </w:r>
          </w:p>
        </w:tc>
        <w:tc>
          <w:tcPr>
            <w:tcW w:w="767" w:type="dxa"/>
            <w:tcBorders>
              <w:top w:val="nil"/>
              <w:left w:val="nil"/>
              <w:bottom w:val="nil"/>
              <w:right w:val="nil"/>
            </w:tcBorders>
            <w:shd w:val="clear" w:color="auto" w:fill="auto"/>
            <w:noWrap/>
            <w:vAlign w:val="bottom"/>
            <w:hideMark/>
          </w:tcPr>
          <w:p w14:paraId="4D3AAF6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0.02</w:t>
            </w:r>
          </w:p>
        </w:tc>
        <w:tc>
          <w:tcPr>
            <w:tcW w:w="821" w:type="dxa"/>
            <w:tcBorders>
              <w:top w:val="nil"/>
              <w:left w:val="nil"/>
              <w:bottom w:val="nil"/>
              <w:right w:val="nil"/>
            </w:tcBorders>
            <w:shd w:val="clear" w:color="auto" w:fill="auto"/>
            <w:noWrap/>
            <w:vAlign w:val="bottom"/>
            <w:hideMark/>
          </w:tcPr>
          <w:p w14:paraId="5F68F38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2.46</w:t>
            </w:r>
          </w:p>
        </w:tc>
        <w:tc>
          <w:tcPr>
            <w:tcW w:w="938" w:type="dxa"/>
            <w:tcBorders>
              <w:top w:val="nil"/>
              <w:left w:val="nil"/>
              <w:bottom w:val="nil"/>
              <w:right w:val="nil"/>
            </w:tcBorders>
            <w:shd w:val="clear" w:color="auto" w:fill="auto"/>
            <w:noWrap/>
            <w:vAlign w:val="bottom"/>
            <w:hideMark/>
          </w:tcPr>
          <w:p w14:paraId="5852DFA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10.83</w:t>
            </w:r>
          </w:p>
        </w:tc>
        <w:tc>
          <w:tcPr>
            <w:tcW w:w="766" w:type="dxa"/>
            <w:tcBorders>
              <w:top w:val="nil"/>
              <w:left w:val="nil"/>
              <w:bottom w:val="nil"/>
              <w:right w:val="nil"/>
            </w:tcBorders>
            <w:shd w:val="clear" w:color="auto" w:fill="auto"/>
            <w:noWrap/>
            <w:vAlign w:val="bottom"/>
            <w:hideMark/>
          </w:tcPr>
          <w:p w14:paraId="7E5AD53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40.57</w:t>
            </w:r>
          </w:p>
        </w:tc>
        <w:tc>
          <w:tcPr>
            <w:tcW w:w="736" w:type="dxa"/>
            <w:tcBorders>
              <w:top w:val="nil"/>
              <w:left w:val="nil"/>
              <w:bottom w:val="nil"/>
              <w:right w:val="nil"/>
            </w:tcBorders>
            <w:shd w:val="clear" w:color="auto" w:fill="auto"/>
            <w:noWrap/>
            <w:vAlign w:val="bottom"/>
            <w:hideMark/>
          </w:tcPr>
          <w:p w14:paraId="7DB1BC9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3,245.48</w:t>
            </w:r>
          </w:p>
        </w:tc>
      </w:tr>
      <w:tr w:rsidR="001E0CFF" w:rsidRPr="002B3278" w14:paraId="3D63EFEA" w14:textId="77777777" w:rsidTr="002B3278">
        <w:trPr>
          <w:trHeight w:val="300"/>
        </w:trPr>
        <w:tc>
          <w:tcPr>
            <w:tcW w:w="3261" w:type="dxa"/>
            <w:tcBorders>
              <w:top w:val="nil"/>
              <w:left w:val="nil"/>
              <w:bottom w:val="nil"/>
              <w:right w:val="nil"/>
            </w:tcBorders>
            <w:shd w:val="clear" w:color="auto" w:fill="auto"/>
            <w:noWrap/>
            <w:vAlign w:val="bottom"/>
            <w:hideMark/>
          </w:tcPr>
          <w:p w14:paraId="2094833C" w14:textId="486FD948"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xml:space="preserve">%PARTICIPATION </w:t>
            </w:r>
          </w:p>
        </w:tc>
        <w:tc>
          <w:tcPr>
            <w:tcW w:w="567" w:type="dxa"/>
            <w:tcBorders>
              <w:top w:val="nil"/>
              <w:left w:val="nil"/>
              <w:bottom w:val="nil"/>
              <w:right w:val="nil"/>
            </w:tcBorders>
            <w:shd w:val="clear" w:color="auto" w:fill="auto"/>
            <w:noWrap/>
            <w:vAlign w:val="bottom"/>
            <w:hideMark/>
          </w:tcPr>
          <w:p w14:paraId="7C7B4CE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609</w:t>
            </w:r>
          </w:p>
        </w:tc>
        <w:tc>
          <w:tcPr>
            <w:tcW w:w="821" w:type="dxa"/>
            <w:tcBorders>
              <w:top w:val="nil"/>
              <w:left w:val="nil"/>
              <w:bottom w:val="nil"/>
              <w:right w:val="nil"/>
            </w:tcBorders>
            <w:shd w:val="clear" w:color="auto" w:fill="auto"/>
            <w:noWrap/>
            <w:vAlign w:val="bottom"/>
            <w:hideMark/>
          </w:tcPr>
          <w:p w14:paraId="2142AF1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69.56</w:t>
            </w:r>
          </w:p>
        </w:tc>
        <w:tc>
          <w:tcPr>
            <w:tcW w:w="821" w:type="dxa"/>
            <w:tcBorders>
              <w:top w:val="nil"/>
              <w:left w:val="nil"/>
              <w:bottom w:val="nil"/>
              <w:right w:val="nil"/>
            </w:tcBorders>
            <w:shd w:val="clear" w:color="auto" w:fill="auto"/>
            <w:noWrap/>
            <w:vAlign w:val="bottom"/>
            <w:hideMark/>
          </w:tcPr>
          <w:p w14:paraId="16439F0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22.83</w:t>
            </w:r>
          </w:p>
        </w:tc>
        <w:tc>
          <w:tcPr>
            <w:tcW w:w="767" w:type="dxa"/>
            <w:tcBorders>
              <w:top w:val="nil"/>
              <w:left w:val="nil"/>
              <w:bottom w:val="nil"/>
              <w:right w:val="nil"/>
            </w:tcBorders>
            <w:shd w:val="clear" w:color="auto" w:fill="auto"/>
            <w:noWrap/>
            <w:vAlign w:val="bottom"/>
            <w:hideMark/>
          </w:tcPr>
          <w:p w14:paraId="3B39C18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0.41</w:t>
            </w:r>
          </w:p>
        </w:tc>
        <w:tc>
          <w:tcPr>
            <w:tcW w:w="821" w:type="dxa"/>
            <w:tcBorders>
              <w:top w:val="nil"/>
              <w:left w:val="nil"/>
              <w:bottom w:val="nil"/>
              <w:right w:val="nil"/>
            </w:tcBorders>
            <w:shd w:val="clear" w:color="auto" w:fill="auto"/>
            <w:noWrap/>
            <w:vAlign w:val="bottom"/>
            <w:hideMark/>
          </w:tcPr>
          <w:p w14:paraId="31C2A2B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57.29</w:t>
            </w:r>
          </w:p>
        </w:tc>
        <w:tc>
          <w:tcPr>
            <w:tcW w:w="938" w:type="dxa"/>
            <w:tcBorders>
              <w:top w:val="nil"/>
              <w:left w:val="nil"/>
              <w:bottom w:val="nil"/>
              <w:right w:val="nil"/>
            </w:tcBorders>
            <w:shd w:val="clear" w:color="auto" w:fill="auto"/>
            <w:noWrap/>
            <w:vAlign w:val="bottom"/>
            <w:hideMark/>
          </w:tcPr>
          <w:p w14:paraId="12E97A0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75.55</w:t>
            </w:r>
          </w:p>
        </w:tc>
        <w:tc>
          <w:tcPr>
            <w:tcW w:w="766" w:type="dxa"/>
            <w:tcBorders>
              <w:top w:val="nil"/>
              <w:left w:val="nil"/>
              <w:bottom w:val="nil"/>
              <w:right w:val="nil"/>
            </w:tcBorders>
            <w:shd w:val="clear" w:color="auto" w:fill="auto"/>
            <w:noWrap/>
            <w:vAlign w:val="bottom"/>
            <w:hideMark/>
          </w:tcPr>
          <w:p w14:paraId="21FA80A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85.70</w:t>
            </w:r>
          </w:p>
        </w:tc>
        <w:tc>
          <w:tcPr>
            <w:tcW w:w="736" w:type="dxa"/>
            <w:tcBorders>
              <w:top w:val="nil"/>
              <w:left w:val="nil"/>
              <w:bottom w:val="nil"/>
              <w:right w:val="nil"/>
            </w:tcBorders>
            <w:shd w:val="clear" w:color="auto" w:fill="auto"/>
            <w:noWrap/>
            <w:vAlign w:val="bottom"/>
            <w:hideMark/>
          </w:tcPr>
          <w:p w14:paraId="2226966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1AD78643" w14:textId="77777777" w:rsidTr="002B3278">
        <w:trPr>
          <w:trHeight w:val="300"/>
        </w:trPr>
        <w:tc>
          <w:tcPr>
            <w:tcW w:w="3261" w:type="dxa"/>
            <w:tcBorders>
              <w:top w:val="nil"/>
              <w:left w:val="nil"/>
              <w:bottom w:val="nil"/>
              <w:right w:val="nil"/>
            </w:tcBorders>
            <w:shd w:val="clear" w:color="auto" w:fill="auto"/>
            <w:noWrap/>
            <w:vAlign w:val="bottom"/>
            <w:hideMark/>
          </w:tcPr>
          <w:p w14:paraId="3DF7B455" w14:textId="05EF8A9B"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IN FAVOUR</w:t>
            </w:r>
          </w:p>
        </w:tc>
        <w:tc>
          <w:tcPr>
            <w:tcW w:w="567" w:type="dxa"/>
            <w:tcBorders>
              <w:top w:val="nil"/>
              <w:left w:val="nil"/>
              <w:bottom w:val="nil"/>
              <w:right w:val="nil"/>
            </w:tcBorders>
            <w:shd w:val="clear" w:color="auto" w:fill="auto"/>
            <w:noWrap/>
            <w:vAlign w:val="bottom"/>
            <w:hideMark/>
          </w:tcPr>
          <w:p w14:paraId="62CDEFE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609</w:t>
            </w:r>
          </w:p>
        </w:tc>
        <w:tc>
          <w:tcPr>
            <w:tcW w:w="821" w:type="dxa"/>
            <w:tcBorders>
              <w:top w:val="nil"/>
              <w:left w:val="nil"/>
              <w:bottom w:val="nil"/>
              <w:right w:val="nil"/>
            </w:tcBorders>
            <w:shd w:val="clear" w:color="auto" w:fill="auto"/>
            <w:noWrap/>
            <w:vAlign w:val="bottom"/>
            <w:hideMark/>
          </w:tcPr>
          <w:p w14:paraId="117A492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91.43</w:t>
            </w:r>
          </w:p>
        </w:tc>
        <w:tc>
          <w:tcPr>
            <w:tcW w:w="821" w:type="dxa"/>
            <w:tcBorders>
              <w:top w:val="nil"/>
              <w:left w:val="nil"/>
              <w:bottom w:val="nil"/>
              <w:right w:val="nil"/>
            </w:tcBorders>
            <w:shd w:val="clear" w:color="auto" w:fill="auto"/>
            <w:noWrap/>
            <w:vAlign w:val="bottom"/>
            <w:hideMark/>
          </w:tcPr>
          <w:p w14:paraId="1B54AF1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20.31</w:t>
            </w:r>
          </w:p>
        </w:tc>
        <w:tc>
          <w:tcPr>
            <w:tcW w:w="767" w:type="dxa"/>
            <w:tcBorders>
              <w:top w:val="nil"/>
              <w:left w:val="nil"/>
              <w:bottom w:val="nil"/>
              <w:right w:val="nil"/>
            </w:tcBorders>
            <w:shd w:val="clear" w:color="auto" w:fill="auto"/>
            <w:noWrap/>
            <w:vAlign w:val="bottom"/>
            <w:hideMark/>
          </w:tcPr>
          <w:p w14:paraId="1ACDC40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62E4E1C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95.56</w:t>
            </w:r>
          </w:p>
        </w:tc>
        <w:tc>
          <w:tcPr>
            <w:tcW w:w="938" w:type="dxa"/>
            <w:tcBorders>
              <w:top w:val="nil"/>
              <w:left w:val="nil"/>
              <w:bottom w:val="nil"/>
              <w:right w:val="nil"/>
            </w:tcBorders>
            <w:shd w:val="clear" w:color="auto" w:fill="auto"/>
            <w:noWrap/>
            <w:vAlign w:val="bottom"/>
            <w:hideMark/>
          </w:tcPr>
          <w:p w14:paraId="01B68ED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c>
          <w:tcPr>
            <w:tcW w:w="766" w:type="dxa"/>
            <w:tcBorders>
              <w:top w:val="nil"/>
              <w:left w:val="nil"/>
              <w:bottom w:val="nil"/>
              <w:right w:val="nil"/>
            </w:tcBorders>
            <w:shd w:val="clear" w:color="auto" w:fill="auto"/>
            <w:noWrap/>
            <w:vAlign w:val="bottom"/>
            <w:hideMark/>
          </w:tcPr>
          <w:p w14:paraId="5391EDF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c>
          <w:tcPr>
            <w:tcW w:w="736" w:type="dxa"/>
            <w:tcBorders>
              <w:top w:val="nil"/>
              <w:left w:val="nil"/>
              <w:bottom w:val="nil"/>
              <w:right w:val="nil"/>
            </w:tcBorders>
            <w:shd w:val="clear" w:color="auto" w:fill="auto"/>
            <w:noWrap/>
            <w:vAlign w:val="bottom"/>
            <w:hideMark/>
          </w:tcPr>
          <w:p w14:paraId="2063419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1038BFF4" w14:textId="77777777" w:rsidTr="002B3278">
        <w:trPr>
          <w:trHeight w:val="300"/>
        </w:trPr>
        <w:tc>
          <w:tcPr>
            <w:tcW w:w="3261" w:type="dxa"/>
            <w:tcBorders>
              <w:top w:val="nil"/>
              <w:left w:val="nil"/>
              <w:bottom w:val="nil"/>
              <w:right w:val="nil"/>
            </w:tcBorders>
            <w:shd w:val="clear" w:color="auto" w:fill="auto"/>
            <w:noWrap/>
            <w:vAlign w:val="bottom"/>
            <w:hideMark/>
          </w:tcPr>
          <w:p w14:paraId="5946745B" w14:textId="77777777" w:rsidR="001E0CFF" w:rsidRPr="002B3278" w:rsidRDefault="001E0CFF" w:rsidP="001E0CFF">
            <w:pPr>
              <w:jc w:val="right"/>
              <w:rPr>
                <w:rFonts w:eastAsia="Times New Roman" w:cstheme="minorHAnsi"/>
                <w:color w:val="000000"/>
                <w:sz w:val="20"/>
                <w:szCs w:val="20"/>
              </w:rPr>
            </w:pPr>
          </w:p>
        </w:tc>
        <w:tc>
          <w:tcPr>
            <w:tcW w:w="567" w:type="dxa"/>
            <w:tcBorders>
              <w:top w:val="nil"/>
              <w:left w:val="nil"/>
              <w:bottom w:val="nil"/>
              <w:right w:val="nil"/>
            </w:tcBorders>
            <w:shd w:val="clear" w:color="auto" w:fill="auto"/>
            <w:noWrap/>
            <w:vAlign w:val="bottom"/>
            <w:hideMark/>
          </w:tcPr>
          <w:p w14:paraId="7EEAB3DA"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0D02A883"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A0755E0"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46763343"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F9976B8"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7D6C4177"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3D185D27"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6ABA82CC" w14:textId="77777777" w:rsidR="001E0CFF" w:rsidRPr="002B3278" w:rsidRDefault="001E0CFF" w:rsidP="001E0CFF">
            <w:pPr>
              <w:rPr>
                <w:rFonts w:eastAsia="Times New Roman" w:cstheme="minorHAnsi"/>
                <w:sz w:val="20"/>
                <w:szCs w:val="20"/>
              </w:rPr>
            </w:pPr>
          </w:p>
        </w:tc>
      </w:tr>
      <w:tr w:rsidR="001E0CFF" w:rsidRPr="002B3278" w14:paraId="245B69CB" w14:textId="77777777" w:rsidTr="002B3278">
        <w:trPr>
          <w:trHeight w:val="300"/>
        </w:trPr>
        <w:tc>
          <w:tcPr>
            <w:tcW w:w="3261" w:type="dxa"/>
            <w:tcBorders>
              <w:top w:val="nil"/>
              <w:left w:val="nil"/>
              <w:bottom w:val="nil"/>
              <w:right w:val="nil"/>
            </w:tcBorders>
            <w:shd w:val="clear" w:color="auto" w:fill="auto"/>
            <w:noWrap/>
            <w:vAlign w:val="bottom"/>
            <w:hideMark/>
          </w:tcPr>
          <w:p w14:paraId="6C28A012"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Retail investors:</w:t>
            </w:r>
          </w:p>
        </w:tc>
        <w:tc>
          <w:tcPr>
            <w:tcW w:w="567" w:type="dxa"/>
            <w:tcBorders>
              <w:top w:val="nil"/>
              <w:left w:val="nil"/>
              <w:bottom w:val="nil"/>
              <w:right w:val="nil"/>
            </w:tcBorders>
            <w:shd w:val="clear" w:color="auto" w:fill="auto"/>
            <w:noWrap/>
            <w:vAlign w:val="bottom"/>
            <w:hideMark/>
          </w:tcPr>
          <w:p w14:paraId="6D91C7B9" w14:textId="77777777" w:rsidR="001E0CFF" w:rsidRPr="002B3278" w:rsidRDefault="001E0CFF" w:rsidP="001E0CFF">
            <w:pPr>
              <w:rPr>
                <w:rFonts w:eastAsia="Times New Roman" w:cstheme="minorHAnsi"/>
                <w:b/>
                <w:bCs/>
                <w:color w:val="000000"/>
                <w:sz w:val="20"/>
                <w:szCs w:val="20"/>
              </w:rPr>
            </w:pPr>
          </w:p>
        </w:tc>
        <w:tc>
          <w:tcPr>
            <w:tcW w:w="821" w:type="dxa"/>
            <w:tcBorders>
              <w:top w:val="nil"/>
              <w:left w:val="nil"/>
              <w:bottom w:val="nil"/>
              <w:right w:val="nil"/>
            </w:tcBorders>
            <w:shd w:val="clear" w:color="auto" w:fill="auto"/>
            <w:noWrap/>
            <w:vAlign w:val="bottom"/>
            <w:hideMark/>
          </w:tcPr>
          <w:p w14:paraId="0CA807B6"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253C7C34"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1C759B61"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66D68C76"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4FD77BDC"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18B77D77"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52551034" w14:textId="77777777" w:rsidR="001E0CFF" w:rsidRPr="002B3278" w:rsidRDefault="001E0CFF" w:rsidP="001E0CFF">
            <w:pPr>
              <w:rPr>
                <w:rFonts w:eastAsia="Times New Roman" w:cstheme="minorHAnsi"/>
                <w:sz w:val="20"/>
                <w:szCs w:val="20"/>
              </w:rPr>
            </w:pPr>
          </w:p>
        </w:tc>
      </w:tr>
      <w:tr w:rsidR="001E0CFF" w:rsidRPr="002B3278" w14:paraId="133FBD6C" w14:textId="77777777" w:rsidTr="002B3278">
        <w:trPr>
          <w:trHeight w:val="300"/>
        </w:trPr>
        <w:tc>
          <w:tcPr>
            <w:tcW w:w="3261" w:type="dxa"/>
            <w:tcBorders>
              <w:top w:val="nil"/>
              <w:left w:val="nil"/>
              <w:bottom w:val="nil"/>
              <w:right w:val="nil"/>
            </w:tcBorders>
            <w:shd w:val="clear" w:color="auto" w:fill="auto"/>
            <w:noWrap/>
            <w:vAlign w:val="bottom"/>
            <w:hideMark/>
          </w:tcPr>
          <w:p w14:paraId="61F64E7C" w14:textId="47E9FC50"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HELD (in millions)</w:t>
            </w:r>
          </w:p>
        </w:tc>
        <w:tc>
          <w:tcPr>
            <w:tcW w:w="567" w:type="dxa"/>
            <w:tcBorders>
              <w:top w:val="nil"/>
              <w:left w:val="nil"/>
              <w:bottom w:val="nil"/>
              <w:right w:val="nil"/>
            </w:tcBorders>
            <w:shd w:val="clear" w:color="auto" w:fill="auto"/>
            <w:noWrap/>
            <w:vAlign w:val="bottom"/>
            <w:hideMark/>
          </w:tcPr>
          <w:p w14:paraId="412DDEA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621</w:t>
            </w:r>
          </w:p>
        </w:tc>
        <w:tc>
          <w:tcPr>
            <w:tcW w:w="821" w:type="dxa"/>
            <w:tcBorders>
              <w:top w:val="nil"/>
              <w:left w:val="nil"/>
              <w:bottom w:val="nil"/>
              <w:right w:val="nil"/>
            </w:tcBorders>
            <w:shd w:val="clear" w:color="auto" w:fill="auto"/>
            <w:noWrap/>
            <w:vAlign w:val="bottom"/>
            <w:hideMark/>
          </w:tcPr>
          <w:p w14:paraId="17C3DDA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85.74</w:t>
            </w:r>
          </w:p>
        </w:tc>
        <w:tc>
          <w:tcPr>
            <w:tcW w:w="821" w:type="dxa"/>
            <w:tcBorders>
              <w:top w:val="nil"/>
              <w:left w:val="nil"/>
              <w:bottom w:val="nil"/>
              <w:right w:val="nil"/>
            </w:tcBorders>
            <w:shd w:val="clear" w:color="auto" w:fill="auto"/>
            <w:noWrap/>
            <w:vAlign w:val="bottom"/>
            <w:hideMark/>
          </w:tcPr>
          <w:p w14:paraId="501B047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228.58</w:t>
            </w:r>
          </w:p>
        </w:tc>
        <w:tc>
          <w:tcPr>
            <w:tcW w:w="767" w:type="dxa"/>
            <w:tcBorders>
              <w:top w:val="nil"/>
              <w:left w:val="nil"/>
              <w:bottom w:val="nil"/>
              <w:right w:val="nil"/>
            </w:tcBorders>
            <w:shd w:val="clear" w:color="auto" w:fill="auto"/>
            <w:noWrap/>
            <w:vAlign w:val="bottom"/>
            <w:hideMark/>
          </w:tcPr>
          <w:p w14:paraId="378831C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7EEAC7F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6.42</w:t>
            </w:r>
          </w:p>
        </w:tc>
        <w:tc>
          <w:tcPr>
            <w:tcW w:w="938" w:type="dxa"/>
            <w:tcBorders>
              <w:top w:val="nil"/>
              <w:left w:val="nil"/>
              <w:bottom w:val="nil"/>
              <w:right w:val="nil"/>
            </w:tcBorders>
            <w:shd w:val="clear" w:color="auto" w:fill="auto"/>
            <w:noWrap/>
            <w:vAlign w:val="bottom"/>
            <w:hideMark/>
          </w:tcPr>
          <w:p w14:paraId="1005D6F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20.86</w:t>
            </w:r>
          </w:p>
        </w:tc>
        <w:tc>
          <w:tcPr>
            <w:tcW w:w="766" w:type="dxa"/>
            <w:tcBorders>
              <w:top w:val="nil"/>
              <w:left w:val="nil"/>
              <w:bottom w:val="nil"/>
              <w:right w:val="nil"/>
            </w:tcBorders>
            <w:shd w:val="clear" w:color="auto" w:fill="auto"/>
            <w:noWrap/>
            <w:vAlign w:val="bottom"/>
            <w:hideMark/>
          </w:tcPr>
          <w:p w14:paraId="4B14E7B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59.12</w:t>
            </w:r>
          </w:p>
        </w:tc>
        <w:tc>
          <w:tcPr>
            <w:tcW w:w="736" w:type="dxa"/>
            <w:tcBorders>
              <w:top w:val="nil"/>
              <w:left w:val="nil"/>
              <w:bottom w:val="nil"/>
              <w:right w:val="nil"/>
            </w:tcBorders>
            <w:shd w:val="clear" w:color="auto" w:fill="auto"/>
            <w:noWrap/>
            <w:vAlign w:val="bottom"/>
            <w:hideMark/>
          </w:tcPr>
          <w:p w14:paraId="7C097E5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2,521.24</w:t>
            </w:r>
          </w:p>
        </w:tc>
      </w:tr>
      <w:tr w:rsidR="001E0CFF" w:rsidRPr="002B3278" w14:paraId="051BAC16" w14:textId="77777777" w:rsidTr="002B3278">
        <w:trPr>
          <w:trHeight w:val="300"/>
        </w:trPr>
        <w:tc>
          <w:tcPr>
            <w:tcW w:w="3261" w:type="dxa"/>
            <w:tcBorders>
              <w:top w:val="nil"/>
              <w:left w:val="nil"/>
              <w:bottom w:val="nil"/>
              <w:right w:val="nil"/>
            </w:tcBorders>
            <w:shd w:val="clear" w:color="auto" w:fill="auto"/>
            <w:noWrap/>
            <w:vAlign w:val="bottom"/>
            <w:hideMark/>
          </w:tcPr>
          <w:p w14:paraId="0F52A38A" w14:textId="5B51D9E2"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POLLED (in millions)</w:t>
            </w:r>
          </w:p>
        </w:tc>
        <w:tc>
          <w:tcPr>
            <w:tcW w:w="567" w:type="dxa"/>
            <w:tcBorders>
              <w:top w:val="nil"/>
              <w:left w:val="nil"/>
              <w:bottom w:val="nil"/>
              <w:right w:val="nil"/>
            </w:tcBorders>
            <w:shd w:val="clear" w:color="auto" w:fill="auto"/>
            <w:noWrap/>
            <w:vAlign w:val="bottom"/>
            <w:hideMark/>
          </w:tcPr>
          <w:p w14:paraId="7058ADA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621</w:t>
            </w:r>
          </w:p>
        </w:tc>
        <w:tc>
          <w:tcPr>
            <w:tcW w:w="821" w:type="dxa"/>
            <w:tcBorders>
              <w:top w:val="nil"/>
              <w:left w:val="nil"/>
              <w:bottom w:val="nil"/>
              <w:right w:val="nil"/>
            </w:tcBorders>
            <w:shd w:val="clear" w:color="auto" w:fill="auto"/>
            <w:noWrap/>
            <w:vAlign w:val="bottom"/>
            <w:hideMark/>
          </w:tcPr>
          <w:p w14:paraId="150B260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19.28</w:t>
            </w:r>
          </w:p>
        </w:tc>
        <w:tc>
          <w:tcPr>
            <w:tcW w:w="821" w:type="dxa"/>
            <w:tcBorders>
              <w:top w:val="nil"/>
              <w:left w:val="nil"/>
              <w:bottom w:val="nil"/>
              <w:right w:val="nil"/>
            </w:tcBorders>
            <w:shd w:val="clear" w:color="auto" w:fill="auto"/>
            <w:noWrap/>
            <w:vAlign w:val="bottom"/>
            <w:hideMark/>
          </w:tcPr>
          <w:p w14:paraId="67BDC6B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81.73</w:t>
            </w:r>
          </w:p>
        </w:tc>
        <w:tc>
          <w:tcPr>
            <w:tcW w:w="767" w:type="dxa"/>
            <w:tcBorders>
              <w:top w:val="nil"/>
              <w:left w:val="nil"/>
              <w:bottom w:val="nil"/>
              <w:right w:val="nil"/>
            </w:tcBorders>
            <w:shd w:val="clear" w:color="auto" w:fill="auto"/>
            <w:noWrap/>
            <w:vAlign w:val="bottom"/>
            <w:hideMark/>
          </w:tcPr>
          <w:p w14:paraId="767CFF7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34627AA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0.15</w:t>
            </w:r>
          </w:p>
        </w:tc>
        <w:tc>
          <w:tcPr>
            <w:tcW w:w="938" w:type="dxa"/>
            <w:tcBorders>
              <w:top w:val="nil"/>
              <w:left w:val="nil"/>
              <w:bottom w:val="nil"/>
              <w:right w:val="nil"/>
            </w:tcBorders>
            <w:shd w:val="clear" w:color="auto" w:fill="auto"/>
            <w:noWrap/>
            <w:vAlign w:val="bottom"/>
            <w:hideMark/>
          </w:tcPr>
          <w:p w14:paraId="41078E6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2.61</w:t>
            </w:r>
          </w:p>
        </w:tc>
        <w:tc>
          <w:tcPr>
            <w:tcW w:w="766" w:type="dxa"/>
            <w:tcBorders>
              <w:top w:val="nil"/>
              <w:left w:val="nil"/>
              <w:bottom w:val="nil"/>
              <w:right w:val="nil"/>
            </w:tcBorders>
            <w:shd w:val="clear" w:color="auto" w:fill="auto"/>
            <w:noWrap/>
            <w:vAlign w:val="bottom"/>
            <w:hideMark/>
          </w:tcPr>
          <w:p w14:paraId="59EF521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10.68</w:t>
            </w:r>
          </w:p>
        </w:tc>
        <w:tc>
          <w:tcPr>
            <w:tcW w:w="736" w:type="dxa"/>
            <w:tcBorders>
              <w:top w:val="nil"/>
              <w:left w:val="nil"/>
              <w:bottom w:val="nil"/>
              <w:right w:val="nil"/>
            </w:tcBorders>
            <w:shd w:val="clear" w:color="auto" w:fill="auto"/>
            <w:noWrap/>
            <w:vAlign w:val="bottom"/>
            <w:hideMark/>
          </w:tcPr>
          <w:p w14:paraId="4D2E526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1,134.74</w:t>
            </w:r>
          </w:p>
        </w:tc>
      </w:tr>
      <w:tr w:rsidR="001E0CFF" w:rsidRPr="002B3278" w14:paraId="5D6D1586" w14:textId="77777777" w:rsidTr="002B3278">
        <w:trPr>
          <w:trHeight w:val="300"/>
        </w:trPr>
        <w:tc>
          <w:tcPr>
            <w:tcW w:w="3261" w:type="dxa"/>
            <w:tcBorders>
              <w:top w:val="nil"/>
              <w:left w:val="nil"/>
              <w:bottom w:val="nil"/>
              <w:right w:val="nil"/>
            </w:tcBorders>
            <w:shd w:val="clear" w:color="auto" w:fill="auto"/>
            <w:noWrap/>
            <w:vAlign w:val="bottom"/>
            <w:hideMark/>
          </w:tcPr>
          <w:p w14:paraId="11A56EBC" w14:textId="74CE288F"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SHARES IN FAVOUR (in millions)</w:t>
            </w:r>
          </w:p>
        </w:tc>
        <w:tc>
          <w:tcPr>
            <w:tcW w:w="567" w:type="dxa"/>
            <w:tcBorders>
              <w:top w:val="nil"/>
              <w:left w:val="nil"/>
              <w:bottom w:val="nil"/>
              <w:right w:val="nil"/>
            </w:tcBorders>
            <w:shd w:val="clear" w:color="auto" w:fill="auto"/>
            <w:noWrap/>
            <w:vAlign w:val="bottom"/>
            <w:hideMark/>
          </w:tcPr>
          <w:p w14:paraId="1295D24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620</w:t>
            </w:r>
          </w:p>
        </w:tc>
        <w:tc>
          <w:tcPr>
            <w:tcW w:w="821" w:type="dxa"/>
            <w:tcBorders>
              <w:top w:val="nil"/>
              <w:left w:val="nil"/>
              <w:bottom w:val="nil"/>
              <w:right w:val="nil"/>
            </w:tcBorders>
            <w:shd w:val="clear" w:color="auto" w:fill="auto"/>
            <w:noWrap/>
            <w:vAlign w:val="bottom"/>
            <w:hideMark/>
          </w:tcPr>
          <w:p w14:paraId="18AFC4A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19.17</w:t>
            </w:r>
          </w:p>
        </w:tc>
        <w:tc>
          <w:tcPr>
            <w:tcW w:w="821" w:type="dxa"/>
            <w:tcBorders>
              <w:top w:val="nil"/>
              <w:left w:val="nil"/>
              <w:bottom w:val="nil"/>
              <w:right w:val="nil"/>
            </w:tcBorders>
            <w:shd w:val="clear" w:color="auto" w:fill="auto"/>
            <w:noWrap/>
            <w:vAlign w:val="bottom"/>
            <w:hideMark/>
          </w:tcPr>
          <w:p w14:paraId="2A19227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81.67</w:t>
            </w:r>
          </w:p>
        </w:tc>
        <w:tc>
          <w:tcPr>
            <w:tcW w:w="767" w:type="dxa"/>
            <w:tcBorders>
              <w:top w:val="nil"/>
              <w:left w:val="nil"/>
              <w:bottom w:val="nil"/>
              <w:right w:val="nil"/>
            </w:tcBorders>
            <w:shd w:val="clear" w:color="auto" w:fill="auto"/>
            <w:noWrap/>
            <w:vAlign w:val="bottom"/>
            <w:hideMark/>
          </w:tcPr>
          <w:p w14:paraId="214C5EF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09E2F50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0.14</w:t>
            </w:r>
          </w:p>
        </w:tc>
        <w:tc>
          <w:tcPr>
            <w:tcW w:w="938" w:type="dxa"/>
            <w:tcBorders>
              <w:top w:val="nil"/>
              <w:left w:val="nil"/>
              <w:bottom w:val="nil"/>
              <w:right w:val="nil"/>
            </w:tcBorders>
            <w:shd w:val="clear" w:color="auto" w:fill="auto"/>
            <w:noWrap/>
            <w:vAlign w:val="bottom"/>
            <w:hideMark/>
          </w:tcPr>
          <w:p w14:paraId="62DDFCB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2.49</w:t>
            </w:r>
          </w:p>
        </w:tc>
        <w:tc>
          <w:tcPr>
            <w:tcW w:w="766" w:type="dxa"/>
            <w:tcBorders>
              <w:top w:val="nil"/>
              <w:left w:val="nil"/>
              <w:bottom w:val="nil"/>
              <w:right w:val="nil"/>
            </w:tcBorders>
            <w:shd w:val="clear" w:color="auto" w:fill="auto"/>
            <w:noWrap/>
            <w:vAlign w:val="bottom"/>
            <w:hideMark/>
          </w:tcPr>
          <w:p w14:paraId="7934815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10.64</w:t>
            </w:r>
          </w:p>
        </w:tc>
        <w:tc>
          <w:tcPr>
            <w:tcW w:w="736" w:type="dxa"/>
            <w:tcBorders>
              <w:top w:val="nil"/>
              <w:left w:val="nil"/>
              <w:bottom w:val="nil"/>
              <w:right w:val="nil"/>
            </w:tcBorders>
            <w:shd w:val="clear" w:color="auto" w:fill="auto"/>
            <w:noWrap/>
            <w:vAlign w:val="bottom"/>
            <w:hideMark/>
          </w:tcPr>
          <w:p w14:paraId="6E52114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1,131.14</w:t>
            </w:r>
          </w:p>
        </w:tc>
      </w:tr>
      <w:tr w:rsidR="001E0CFF" w:rsidRPr="002B3278" w14:paraId="1B9CEFA1" w14:textId="77777777" w:rsidTr="002B3278">
        <w:trPr>
          <w:trHeight w:val="300"/>
        </w:trPr>
        <w:tc>
          <w:tcPr>
            <w:tcW w:w="3261" w:type="dxa"/>
            <w:tcBorders>
              <w:top w:val="nil"/>
              <w:left w:val="nil"/>
              <w:bottom w:val="nil"/>
              <w:right w:val="nil"/>
            </w:tcBorders>
            <w:shd w:val="clear" w:color="auto" w:fill="auto"/>
            <w:noWrap/>
            <w:vAlign w:val="bottom"/>
            <w:hideMark/>
          </w:tcPr>
          <w:p w14:paraId="3ED41E68" w14:textId="5578FA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xml:space="preserve">%PARTICIPATION </w:t>
            </w:r>
          </w:p>
        </w:tc>
        <w:tc>
          <w:tcPr>
            <w:tcW w:w="567" w:type="dxa"/>
            <w:tcBorders>
              <w:top w:val="nil"/>
              <w:left w:val="nil"/>
              <w:bottom w:val="nil"/>
              <w:right w:val="nil"/>
            </w:tcBorders>
            <w:shd w:val="clear" w:color="auto" w:fill="auto"/>
            <w:noWrap/>
            <w:vAlign w:val="bottom"/>
            <w:hideMark/>
          </w:tcPr>
          <w:p w14:paraId="6A9F5B3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619</w:t>
            </w:r>
          </w:p>
        </w:tc>
        <w:tc>
          <w:tcPr>
            <w:tcW w:w="821" w:type="dxa"/>
            <w:tcBorders>
              <w:top w:val="nil"/>
              <w:left w:val="nil"/>
              <w:bottom w:val="nil"/>
              <w:right w:val="nil"/>
            </w:tcBorders>
            <w:shd w:val="clear" w:color="auto" w:fill="auto"/>
            <w:noWrap/>
            <w:vAlign w:val="bottom"/>
            <w:hideMark/>
          </w:tcPr>
          <w:p w14:paraId="7E7C1CB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21.04</w:t>
            </w:r>
          </w:p>
        </w:tc>
        <w:tc>
          <w:tcPr>
            <w:tcW w:w="821" w:type="dxa"/>
            <w:tcBorders>
              <w:top w:val="nil"/>
              <w:left w:val="nil"/>
              <w:bottom w:val="nil"/>
              <w:right w:val="nil"/>
            </w:tcBorders>
            <w:shd w:val="clear" w:color="auto" w:fill="auto"/>
            <w:noWrap/>
            <w:vAlign w:val="bottom"/>
            <w:hideMark/>
          </w:tcPr>
          <w:p w14:paraId="7A672F8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24.12</w:t>
            </w:r>
          </w:p>
        </w:tc>
        <w:tc>
          <w:tcPr>
            <w:tcW w:w="767" w:type="dxa"/>
            <w:tcBorders>
              <w:top w:val="nil"/>
              <w:left w:val="nil"/>
              <w:bottom w:val="nil"/>
              <w:right w:val="nil"/>
            </w:tcBorders>
            <w:shd w:val="clear" w:color="auto" w:fill="auto"/>
            <w:noWrap/>
            <w:vAlign w:val="bottom"/>
            <w:hideMark/>
          </w:tcPr>
          <w:p w14:paraId="63969EE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0.01</w:t>
            </w:r>
          </w:p>
        </w:tc>
        <w:tc>
          <w:tcPr>
            <w:tcW w:w="821" w:type="dxa"/>
            <w:tcBorders>
              <w:top w:val="nil"/>
              <w:left w:val="nil"/>
              <w:bottom w:val="nil"/>
              <w:right w:val="nil"/>
            </w:tcBorders>
            <w:shd w:val="clear" w:color="auto" w:fill="auto"/>
            <w:noWrap/>
            <w:vAlign w:val="bottom"/>
            <w:hideMark/>
          </w:tcPr>
          <w:p w14:paraId="245B474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1.59</w:t>
            </w:r>
          </w:p>
        </w:tc>
        <w:tc>
          <w:tcPr>
            <w:tcW w:w="938" w:type="dxa"/>
            <w:tcBorders>
              <w:top w:val="nil"/>
              <w:left w:val="nil"/>
              <w:bottom w:val="nil"/>
              <w:right w:val="nil"/>
            </w:tcBorders>
            <w:shd w:val="clear" w:color="auto" w:fill="auto"/>
            <w:noWrap/>
            <w:vAlign w:val="bottom"/>
            <w:hideMark/>
          </w:tcPr>
          <w:p w14:paraId="5CC9770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12.27</w:t>
            </w:r>
          </w:p>
        </w:tc>
        <w:tc>
          <w:tcPr>
            <w:tcW w:w="766" w:type="dxa"/>
            <w:tcBorders>
              <w:top w:val="nil"/>
              <w:left w:val="nil"/>
              <w:bottom w:val="nil"/>
              <w:right w:val="nil"/>
            </w:tcBorders>
            <w:shd w:val="clear" w:color="auto" w:fill="auto"/>
            <w:noWrap/>
            <w:vAlign w:val="bottom"/>
            <w:hideMark/>
          </w:tcPr>
          <w:p w14:paraId="37E94A4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33.21</w:t>
            </w:r>
          </w:p>
        </w:tc>
        <w:tc>
          <w:tcPr>
            <w:tcW w:w="736" w:type="dxa"/>
            <w:tcBorders>
              <w:top w:val="nil"/>
              <w:left w:val="nil"/>
              <w:bottom w:val="nil"/>
              <w:right w:val="nil"/>
            </w:tcBorders>
            <w:shd w:val="clear" w:color="auto" w:fill="auto"/>
            <w:noWrap/>
            <w:vAlign w:val="bottom"/>
            <w:hideMark/>
          </w:tcPr>
          <w:p w14:paraId="0BD23DE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2C3E8CB4" w14:textId="77777777" w:rsidTr="002B3278">
        <w:trPr>
          <w:trHeight w:val="300"/>
        </w:trPr>
        <w:tc>
          <w:tcPr>
            <w:tcW w:w="3261" w:type="dxa"/>
            <w:tcBorders>
              <w:top w:val="nil"/>
              <w:left w:val="nil"/>
              <w:bottom w:val="nil"/>
              <w:right w:val="nil"/>
            </w:tcBorders>
            <w:shd w:val="clear" w:color="auto" w:fill="auto"/>
            <w:noWrap/>
            <w:vAlign w:val="bottom"/>
            <w:hideMark/>
          </w:tcPr>
          <w:p w14:paraId="6EA1B5DF" w14:textId="75BA8156"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IN FAVOUR</w:t>
            </w:r>
          </w:p>
        </w:tc>
        <w:tc>
          <w:tcPr>
            <w:tcW w:w="567" w:type="dxa"/>
            <w:tcBorders>
              <w:top w:val="nil"/>
              <w:left w:val="nil"/>
              <w:bottom w:val="nil"/>
              <w:right w:val="nil"/>
            </w:tcBorders>
            <w:shd w:val="clear" w:color="auto" w:fill="auto"/>
            <w:noWrap/>
            <w:vAlign w:val="bottom"/>
            <w:hideMark/>
          </w:tcPr>
          <w:p w14:paraId="4CCB29A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621</w:t>
            </w:r>
          </w:p>
        </w:tc>
        <w:tc>
          <w:tcPr>
            <w:tcW w:w="821" w:type="dxa"/>
            <w:tcBorders>
              <w:top w:val="nil"/>
              <w:left w:val="nil"/>
              <w:bottom w:val="nil"/>
              <w:right w:val="nil"/>
            </w:tcBorders>
            <w:shd w:val="clear" w:color="auto" w:fill="auto"/>
            <w:noWrap/>
            <w:vAlign w:val="bottom"/>
            <w:hideMark/>
          </w:tcPr>
          <w:p w14:paraId="290A502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96.68</w:t>
            </w:r>
          </w:p>
        </w:tc>
        <w:tc>
          <w:tcPr>
            <w:tcW w:w="821" w:type="dxa"/>
            <w:tcBorders>
              <w:top w:val="nil"/>
              <w:left w:val="nil"/>
              <w:bottom w:val="nil"/>
              <w:right w:val="nil"/>
            </w:tcBorders>
            <w:shd w:val="clear" w:color="auto" w:fill="auto"/>
            <w:noWrap/>
            <w:vAlign w:val="bottom"/>
            <w:hideMark/>
          </w:tcPr>
          <w:p w14:paraId="0BB0AEA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12.10</w:t>
            </w:r>
          </w:p>
        </w:tc>
        <w:tc>
          <w:tcPr>
            <w:tcW w:w="767" w:type="dxa"/>
            <w:tcBorders>
              <w:top w:val="nil"/>
              <w:left w:val="nil"/>
              <w:bottom w:val="nil"/>
              <w:right w:val="nil"/>
            </w:tcBorders>
            <w:shd w:val="clear" w:color="auto" w:fill="auto"/>
            <w:noWrap/>
            <w:vAlign w:val="bottom"/>
            <w:hideMark/>
          </w:tcPr>
          <w:p w14:paraId="1428D3A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7D4D3E4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99.11</w:t>
            </w:r>
          </w:p>
        </w:tc>
        <w:tc>
          <w:tcPr>
            <w:tcW w:w="938" w:type="dxa"/>
            <w:tcBorders>
              <w:top w:val="nil"/>
              <w:left w:val="nil"/>
              <w:bottom w:val="nil"/>
              <w:right w:val="nil"/>
            </w:tcBorders>
            <w:shd w:val="clear" w:color="auto" w:fill="auto"/>
            <w:noWrap/>
            <w:vAlign w:val="bottom"/>
            <w:hideMark/>
          </w:tcPr>
          <w:p w14:paraId="175A3C7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99.96</w:t>
            </w:r>
          </w:p>
        </w:tc>
        <w:tc>
          <w:tcPr>
            <w:tcW w:w="766" w:type="dxa"/>
            <w:tcBorders>
              <w:top w:val="nil"/>
              <w:left w:val="nil"/>
              <w:bottom w:val="nil"/>
              <w:right w:val="nil"/>
            </w:tcBorders>
            <w:shd w:val="clear" w:color="auto" w:fill="auto"/>
            <w:noWrap/>
            <w:vAlign w:val="bottom"/>
            <w:hideMark/>
          </w:tcPr>
          <w:p w14:paraId="7BCEC75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c>
          <w:tcPr>
            <w:tcW w:w="736" w:type="dxa"/>
            <w:tcBorders>
              <w:top w:val="nil"/>
              <w:left w:val="nil"/>
              <w:bottom w:val="nil"/>
              <w:right w:val="nil"/>
            </w:tcBorders>
            <w:shd w:val="clear" w:color="auto" w:fill="auto"/>
            <w:noWrap/>
            <w:vAlign w:val="bottom"/>
            <w:hideMark/>
          </w:tcPr>
          <w:p w14:paraId="46C26F8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100.00</w:t>
            </w:r>
          </w:p>
        </w:tc>
      </w:tr>
      <w:tr w:rsidR="001E0CFF" w:rsidRPr="002B3278" w14:paraId="3E88D575" w14:textId="77777777" w:rsidTr="002B3278">
        <w:trPr>
          <w:trHeight w:val="300"/>
        </w:trPr>
        <w:tc>
          <w:tcPr>
            <w:tcW w:w="3261" w:type="dxa"/>
            <w:tcBorders>
              <w:top w:val="nil"/>
              <w:left w:val="nil"/>
              <w:bottom w:val="nil"/>
              <w:right w:val="nil"/>
            </w:tcBorders>
            <w:shd w:val="clear" w:color="auto" w:fill="auto"/>
            <w:noWrap/>
            <w:vAlign w:val="bottom"/>
            <w:hideMark/>
          </w:tcPr>
          <w:p w14:paraId="76A8A15D" w14:textId="77777777" w:rsidR="001E0CFF" w:rsidRPr="002B3278" w:rsidRDefault="001E0CFF" w:rsidP="001E0CFF">
            <w:pPr>
              <w:jc w:val="right"/>
              <w:rPr>
                <w:rFonts w:eastAsia="Times New Roman" w:cstheme="minorHAnsi"/>
                <w:color w:val="000000"/>
                <w:sz w:val="20"/>
                <w:szCs w:val="20"/>
              </w:rPr>
            </w:pPr>
          </w:p>
        </w:tc>
        <w:tc>
          <w:tcPr>
            <w:tcW w:w="567" w:type="dxa"/>
            <w:tcBorders>
              <w:top w:val="nil"/>
              <w:left w:val="nil"/>
              <w:bottom w:val="nil"/>
              <w:right w:val="nil"/>
            </w:tcBorders>
            <w:shd w:val="clear" w:color="auto" w:fill="auto"/>
            <w:noWrap/>
            <w:vAlign w:val="bottom"/>
            <w:hideMark/>
          </w:tcPr>
          <w:p w14:paraId="3E437408"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CC72B80"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3FDCAA1D"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0F76E17F"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5EB57923"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72F50FCD"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3E6C0E61"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52707016" w14:textId="77777777" w:rsidR="001E0CFF" w:rsidRPr="002B3278" w:rsidRDefault="001E0CFF" w:rsidP="001E0CFF">
            <w:pPr>
              <w:rPr>
                <w:rFonts w:eastAsia="Times New Roman" w:cstheme="minorHAnsi"/>
                <w:sz w:val="20"/>
                <w:szCs w:val="20"/>
              </w:rPr>
            </w:pPr>
          </w:p>
        </w:tc>
      </w:tr>
      <w:tr w:rsidR="001E0CFF" w:rsidRPr="002B3278" w14:paraId="47D4FAFE" w14:textId="77777777" w:rsidTr="002B3278">
        <w:trPr>
          <w:trHeight w:val="300"/>
        </w:trPr>
        <w:tc>
          <w:tcPr>
            <w:tcW w:w="9498" w:type="dxa"/>
            <w:gridSpan w:val="9"/>
            <w:tcBorders>
              <w:top w:val="nil"/>
              <w:left w:val="nil"/>
              <w:bottom w:val="nil"/>
              <w:right w:val="nil"/>
            </w:tcBorders>
            <w:shd w:val="clear" w:color="auto" w:fill="auto"/>
            <w:noWrap/>
            <w:vAlign w:val="bottom"/>
            <w:hideMark/>
          </w:tcPr>
          <w:p w14:paraId="7A98828B" w14:textId="41FDFF50" w:rsidR="001E0CFF" w:rsidRPr="002B3278" w:rsidRDefault="001E0CFF" w:rsidP="001E0CFF">
            <w:pPr>
              <w:rPr>
                <w:rFonts w:eastAsia="Times New Roman" w:cstheme="minorHAnsi"/>
                <w:sz w:val="20"/>
                <w:szCs w:val="20"/>
              </w:rPr>
            </w:pPr>
            <w:r w:rsidRPr="002B3278">
              <w:rPr>
                <w:rFonts w:eastAsia="Times New Roman" w:cstheme="minorHAnsi"/>
                <w:b/>
                <w:bCs/>
                <w:color w:val="000000"/>
                <w:sz w:val="20"/>
                <w:szCs w:val="20"/>
              </w:rPr>
              <w:t>Textual characteristics of resolution related disclosure:</w:t>
            </w:r>
          </w:p>
        </w:tc>
      </w:tr>
      <w:tr w:rsidR="001E0CFF" w:rsidRPr="002B3278" w14:paraId="7981CAA3" w14:textId="77777777" w:rsidTr="002B3278">
        <w:trPr>
          <w:trHeight w:val="300"/>
        </w:trPr>
        <w:tc>
          <w:tcPr>
            <w:tcW w:w="3261" w:type="dxa"/>
            <w:tcBorders>
              <w:top w:val="nil"/>
              <w:left w:val="nil"/>
              <w:bottom w:val="nil"/>
              <w:right w:val="nil"/>
            </w:tcBorders>
            <w:shd w:val="clear" w:color="auto" w:fill="auto"/>
            <w:noWrap/>
            <w:vAlign w:val="bottom"/>
            <w:hideMark/>
          </w:tcPr>
          <w:p w14:paraId="50ADBCB6"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FOG</w:t>
            </w:r>
          </w:p>
        </w:tc>
        <w:tc>
          <w:tcPr>
            <w:tcW w:w="567" w:type="dxa"/>
            <w:tcBorders>
              <w:top w:val="nil"/>
              <w:left w:val="nil"/>
              <w:bottom w:val="nil"/>
              <w:right w:val="nil"/>
            </w:tcBorders>
            <w:shd w:val="clear" w:color="auto" w:fill="auto"/>
            <w:noWrap/>
            <w:vAlign w:val="bottom"/>
            <w:hideMark/>
          </w:tcPr>
          <w:p w14:paraId="342D752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556</w:t>
            </w:r>
          </w:p>
        </w:tc>
        <w:tc>
          <w:tcPr>
            <w:tcW w:w="821" w:type="dxa"/>
            <w:tcBorders>
              <w:top w:val="nil"/>
              <w:left w:val="nil"/>
              <w:bottom w:val="nil"/>
              <w:right w:val="nil"/>
            </w:tcBorders>
            <w:shd w:val="clear" w:color="auto" w:fill="auto"/>
            <w:noWrap/>
            <w:vAlign w:val="bottom"/>
            <w:hideMark/>
          </w:tcPr>
          <w:p w14:paraId="4EF4F7C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26.59</w:t>
            </w:r>
          </w:p>
        </w:tc>
        <w:tc>
          <w:tcPr>
            <w:tcW w:w="821" w:type="dxa"/>
            <w:tcBorders>
              <w:top w:val="nil"/>
              <w:left w:val="nil"/>
              <w:bottom w:val="nil"/>
              <w:right w:val="nil"/>
            </w:tcBorders>
            <w:shd w:val="clear" w:color="auto" w:fill="auto"/>
            <w:noWrap/>
            <w:vAlign w:val="bottom"/>
            <w:hideMark/>
          </w:tcPr>
          <w:p w14:paraId="26D211C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22.39</w:t>
            </w:r>
          </w:p>
        </w:tc>
        <w:tc>
          <w:tcPr>
            <w:tcW w:w="767" w:type="dxa"/>
            <w:tcBorders>
              <w:top w:val="nil"/>
              <w:left w:val="nil"/>
              <w:bottom w:val="nil"/>
              <w:right w:val="nil"/>
            </w:tcBorders>
            <w:shd w:val="clear" w:color="auto" w:fill="auto"/>
            <w:noWrap/>
            <w:vAlign w:val="bottom"/>
            <w:hideMark/>
          </w:tcPr>
          <w:p w14:paraId="6401485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20407F1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18.80</w:t>
            </w:r>
          </w:p>
        </w:tc>
        <w:tc>
          <w:tcPr>
            <w:tcW w:w="938" w:type="dxa"/>
            <w:tcBorders>
              <w:top w:val="nil"/>
              <w:left w:val="nil"/>
              <w:bottom w:val="nil"/>
              <w:right w:val="nil"/>
            </w:tcBorders>
            <w:shd w:val="clear" w:color="auto" w:fill="auto"/>
            <w:noWrap/>
            <w:vAlign w:val="bottom"/>
            <w:hideMark/>
          </w:tcPr>
          <w:p w14:paraId="6558F85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21.49</w:t>
            </w:r>
          </w:p>
        </w:tc>
        <w:tc>
          <w:tcPr>
            <w:tcW w:w="766" w:type="dxa"/>
            <w:tcBorders>
              <w:top w:val="nil"/>
              <w:left w:val="nil"/>
              <w:bottom w:val="nil"/>
              <w:right w:val="nil"/>
            </w:tcBorders>
            <w:shd w:val="clear" w:color="auto" w:fill="auto"/>
            <w:noWrap/>
            <w:vAlign w:val="bottom"/>
            <w:hideMark/>
          </w:tcPr>
          <w:p w14:paraId="213AF62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25.00</w:t>
            </w:r>
          </w:p>
        </w:tc>
        <w:tc>
          <w:tcPr>
            <w:tcW w:w="736" w:type="dxa"/>
            <w:tcBorders>
              <w:top w:val="nil"/>
              <w:left w:val="nil"/>
              <w:bottom w:val="nil"/>
              <w:right w:val="nil"/>
            </w:tcBorders>
            <w:shd w:val="clear" w:color="auto" w:fill="auto"/>
            <w:noWrap/>
            <w:vAlign w:val="bottom"/>
            <w:hideMark/>
          </w:tcPr>
          <w:p w14:paraId="6E02B90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192.07</w:t>
            </w:r>
          </w:p>
        </w:tc>
      </w:tr>
      <w:tr w:rsidR="001E0CFF" w:rsidRPr="002B3278" w14:paraId="2EF773B8" w14:textId="77777777" w:rsidTr="002B3278">
        <w:trPr>
          <w:trHeight w:val="300"/>
        </w:trPr>
        <w:tc>
          <w:tcPr>
            <w:tcW w:w="3261" w:type="dxa"/>
            <w:tcBorders>
              <w:top w:val="nil"/>
              <w:left w:val="nil"/>
              <w:bottom w:val="nil"/>
              <w:right w:val="nil"/>
            </w:tcBorders>
            <w:shd w:val="clear" w:color="auto" w:fill="auto"/>
            <w:noWrap/>
            <w:vAlign w:val="bottom"/>
            <w:hideMark/>
          </w:tcPr>
          <w:p w14:paraId="0347C1EF"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TOTAL SENTENCES</w:t>
            </w:r>
          </w:p>
        </w:tc>
        <w:tc>
          <w:tcPr>
            <w:tcW w:w="567" w:type="dxa"/>
            <w:tcBorders>
              <w:top w:val="nil"/>
              <w:left w:val="nil"/>
              <w:bottom w:val="nil"/>
              <w:right w:val="nil"/>
            </w:tcBorders>
            <w:shd w:val="clear" w:color="auto" w:fill="auto"/>
            <w:noWrap/>
            <w:vAlign w:val="bottom"/>
            <w:hideMark/>
          </w:tcPr>
          <w:p w14:paraId="72E7A4E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556</w:t>
            </w:r>
          </w:p>
        </w:tc>
        <w:tc>
          <w:tcPr>
            <w:tcW w:w="821" w:type="dxa"/>
            <w:tcBorders>
              <w:top w:val="nil"/>
              <w:left w:val="nil"/>
              <w:bottom w:val="nil"/>
              <w:right w:val="nil"/>
            </w:tcBorders>
            <w:shd w:val="clear" w:color="auto" w:fill="auto"/>
            <w:noWrap/>
            <w:vAlign w:val="bottom"/>
            <w:hideMark/>
          </w:tcPr>
          <w:p w14:paraId="3BADD27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14.27</w:t>
            </w:r>
          </w:p>
        </w:tc>
        <w:tc>
          <w:tcPr>
            <w:tcW w:w="821" w:type="dxa"/>
            <w:tcBorders>
              <w:top w:val="nil"/>
              <w:left w:val="nil"/>
              <w:bottom w:val="nil"/>
              <w:right w:val="nil"/>
            </w:tcBorders>
            <w:shd w:val="clear" w:color="auto" w:fill="auto"/>
            <w:noWrap/>
            <w:vAlign w:val="bottom"/>
            <w:hideMark/>
          </w:tcPr>
          <w:p w14:paraId="166EFD2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10.36</w:t>
            </w:r>
          </w:p>
        </w:tc>
        <w:tc>
          <w:tcPr>
            <w:tcW w:w="767" w:type="dxa"/>
            <w:tcBorders>
              <w:top w:val="nil"/>
              <w:left w:val="nil"/>
              <w:bottom w:val="nil"/>
              <w:right w:val="nil"/>
            </w:tcBorders>
            <w:shd w:val="clear" w:color="auto" w:fill="auto"/>
            <w:noWrap/>
            <w:vAlign w:val="bottom"/>
            <w:hideMark/>
          </w:tcPr>
          <w:p w14:paraId="3AF2EC0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1454C19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7.00</w:t>
            </w:r>
          </w:p>
        </w:tc>
        <w:tc>
          <w:tcPr>
            <w:tcW w:w="938" w:type="dxa"/>
            <w:tcBorders>
              <w:top w:val="nil"/>
              <w:left w:val="nil"/>
              <w:bottom w:val="nil"/>
              <w:right w:val="nil"/>
            </w:tcBorders>
            <w:shd w:val="clear" w:color="auto" w:fill="auto"/>
            <w:noWrap/>
            <w:vAlign w:val="bottom"/>
            <w:hideMark/>
          </w:tcPr>
          <w:p w14:paraId="1293DF4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12.50</w:t>
            </w:r>
          </w:p>
        </w:tc>
        <w:tc>
          <w:tcPr>
            <w:tcW w:w="766" w:type="dxa"/>
            <w:tcBorders>
              <w:top w:val="nil"/>
              <w:left w:val="nil"/>
              <w:bottom w:val="nil"/>
              <w:right w:val="nil"/>
            </w:tcBorders>
            <w:shd w:val="clear" w:color="auto" w:fill="auto"/>
            <w:noWrap/>
            <w:vAlign w:val="bottom"/>
            <w:hideMark/>
          </w:tcPr>
          <w:p w14:paraId="4DE87DD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19.00</w:t>
            </w:r>
          </w:p>
        </w:tc>
        <w:tc>
          <w:tcPr>
            <w:tcW w:w="736" w:type="dxa"/>
            <w:tcBorders>
              <w:top w:val="nil"/>
              <w:left w:val="nil"/>
              <w:bottom w:val="nil"/>
              <w:right w:val="nil"/>
            </w:tcBorders>
            <w:shd w:val="clear" w:color="auto" w:fill="auto"/>
            <w:noWrap/>
            <w:vAlign w:val="bottom"/>
            <w:hideMark/>
          </w:tcPr>
          <w:p w14:paraId="6B30173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94.00</w:t>
            </w:r>
          </w:p>
        </w:tc>
      </w:tr>
      <w:tr w:rsidR="001E0CFF" w:rsidRPr="002B3278" w14:paraId="4712B185" w14:textId="77777777" w:rsidTr="002B3278">
        <w:trPr>
          <w:trHeight w:val="300"/>
        </w:trPr>
        <w:tc>
          <w:tcPr>
            <w:tcW w:w="3261" w:type="dxa"/>
            <w:tcBorders>
              <w:top w:val="nil"/>
              <w:left w:val="nil"/>
              <w:bottom w:val="nil"/>
              <w:right w:val="nil"/>
            </w:tcBorders>
            <w:shd w:val="clear" w:color="auto" w:fill="auto"/>
            <w:noWrap/>
            <w:vAlign w:val="bottom"/>
            <w:hideMark/>
          </w:tcPr>
          <w:p w14:paraId="661F327B"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TOTAL WORDS</w:t>
            </w:r>
          </w:p>
        </w:tc>
        <w:tc>
          <w:tcPr>
            <w:tcW w:w="567" w:type="dxa"/>
            <w:tcBorders>
              <w:top w:val="nil"/>
              <w:left w:val="nil"/>
              <w:bottom w:val="nil"/>
              <w:right w:val="nil"/>
            </w:tcBorders>
            <w:shd w:val="clear" w:color="auto" w:fill="auto"/>
            <w:noWrap/>
            <w:vAlign w:val="bottom"/>
            <w:hideMark/>
          </w:tcPr>
          <w:p w14:paraId="55E0945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556</w:t>
            </w:r>
          </w:p>
        </w:tc>
        <w:tc>
          <w:tcPr>
            <w:tcW w:w="821" w:type="dxa"/>
            <w:tcBorders>
              <w:top w:val="nil"/>
              <w:left w:val="nil"/>
              <w:bottom w:val="nil"/>
              <w:right w:val="nil"/>
            </w:tcBorders>
            <w:shd w:val="clear" w:color="auto" w:fill="auto"/>
            <w:noWrap/>
            <w:vAlign w:val="bottom"/>
            <w:hideMark/>
          </w:tcPr>
          <w:p w14:paraId="23A6B60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389.85</w:t>
            </w:r>
          </w:p>
        </w:tc>
        <w:tc>
          <w:tcPr>
            <w:tcW w:w="821" w:type="dxa"/>
            <w:tcBorders>
              <w:top w:val="nil"/>
              <w:left w:val="nil"/>
              <w:bottom w:val="nil"/>
              <w:right w:val="nil"/>
            </w:tcBorders>
            <w:shd w:val="clear" w:color="auto" w:fill="auto"/>
            <w:noWrap/>
            <w:vAlign w:val="bottom"/>
            <w:hideMark/>
          </w:tcPr>
          <w:p w14:paraId="4DA1F2C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220.47</w:t>
            </w:r>
          </w:p>
        </w:tc>
        <w:tc>
          <w:tcPr>
            <w:tcW w:w="767" w:type="dxa"/>
            <w:tcBorders>
              <w:top w:val="nil"/>
              <w:left w:val="nil"/>
              <w:bottom w:val="nil"/>
              <w:right w:val="nil"/>
            </w:tcBorders>
            <w:shd w:val="clear" w:color="auto" w:fill="auto"/>
            <w:noWrap/>
            <w:vAlign w:val="bottom"/>
            <w:hideMark/>
          </w:tcPr>
          <w:p w14:paraId="58EB73A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5BC1238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241.50</w:t>
            </w:r>
          </w:p>
        </w:tc>
        <w:tc>
          <w:tcPr>
            <w:tcW w:w="938" w:type="dxa"/>
            <w:tcBorders>
              <w:top w:val="nil"/>
              <w:left w:val="nil"/>
              <w:bottom w:val="nil"/>
              <w:right w:val="nil"/>
            </w:tcBorders>
            <w:shd w:val="clear" w:color="auto" w:fill="auto"/>
            <w:noWrap/>
            <w:vAlign w:val="bottom"/>
            <w:hideMark/>
          </w:tcPr>
          <w:p w14:paraId="1B7C41D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349.50</w:t>
            </w:r>
          </w:p>
        </w:tc>
        <w:tc>
          <w:tcPr>
            <w:tcW w:w="766" w:type="dxa"/>
            <w:tcBorders>
              <w:top w:val="nil"/>
              <w:left w:val="nil"/>
              <w:bottom w:val="nil"/>
              <w:right w:val="nil"/>
            </w:tcBorders>
            <w:shd w:val="clear" w:color="auto" w:fill="auto"/>
            <w:noWrap/>
            <w:vAlign w:val="bottom"/>
            <w:hideMark/>
          </w:tcPr>
          <w:p w14:paraId="08F79CF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487.50</w:t>
            </w:r>
          </w:p>
        </w:tc>
        <w:tc>
          <w:tcPr>
            <w:tcW w:w="736" w:type="dxa"/>
            <w:tcBorders>
              <w:top w:val="nil"/>
              <w:left w:val="nil"/>
              <w:bottom w:val="nil"/>
              <w:right w:val="nil"/>
            </w:tcBorders>
            <w:shd w:val="clear" w:color="auto" w:fill="auto"/>
            <w:noWrap/>
            <w:vAlign w:val="bottom"/>
            <w:hideMark/>
          </w:tcPr>
          <w:p w14:paraId="1E4E90B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1,702.00</w:t>
            </w:r>
          </w:p>
        </w:tc>
      </w:tr>
      <w:tr w:rsidR="001E0CFF" w:rsidRPr="002B3278" w14:paraId="1AD30E0F" w14:textId="77777777" w:rsidTr="002B3278">
        <w:trPr>
          <w:trHeight w:val="202"/>
        </w:trPr>
        <w:tc>
          <w:tcPr>
            <w:tcW w:w="3261" w:type="dxa"/>
            <w:tcBorders>
              <w:top w:val="nil"/>
              <w:left w:val="nil"/>
              <w:bottom w:val="nil"/>
              <w:right w:val="nil"/>
            </w:tcBorders>
            <w:shd w:val="clear" w:color="auto" w:fill="auto"/>
            <w:noWrap/>
            <w:vAlign w:val="bottom"/>
            <w:hideMark/>
          </w:tcPr>
          <w:p w14:paraId="33310A84"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TONE</w:t>
            </w:r>
          </w:p>
        </w:tc>
        <w:tc>
          <w:tcPr>
            <w:tcW w:w="567" w:type="dxa"/>
            <w:tcBorders>
              <w:top w:val="nil"/>
              <w:left w:val="nil"/>
              <w:bottom w:val="nil"/>
              <w:right w:val="nil"/>
            </w:tcBorders>
            <w:shd w:val="clear" w:color="auto" w:fill="auto"/>
            <w:noWrap/>
            <w:vAlign w:val="bottom"/>
            <w:hideMark/>
          </w:tcPr>
          <w:p w14:paraId="7B6D439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555</w:t>
            </w:r>
          </w:p>
        </w:tc>
        <w:tc>
          <w:tcPr>
            <w:tcW w:w="821" w:type="dxa"/>
            <w:tcBorders>
              <w:top w:val="nil"/>
              <w:left w:val="nil"/>
              <w:bottom w:val="nil"/>
              <w:right w:val="nil"/>
            </w:tcBorders>
            <w:shd w:val="clear" w:color="auto" w:fill="auto"/>
            <w:noWrap/>
            <w:vAlign w:val="bottom"/>
            <w:hideMark/>
          </w:tcPr>
          <w:p w14:paraId="29C5F4C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-0.21</w:t>
            </w:r>
          </w:p>
        </w:tc>
        <w:tc>
          <w:tcPr>
            <w:tcW w:w="821" w:type="dxa"/>
            <w:tcBorders>
              <w:top w:val="nil"/>
              <w:left w:val="nil"/>
              <w:bottom w:val="nil"/>
              <w:right w:val="nil"/>
            </w:tcBorders>
            <w:shd w:val="clear" w:color="auto" w:fill="auto"/>
            <w:noWrap/>
            <w:vAlign w:val="bottom"/>
            <w:hideMark/>
          </w:tcPr>
          <w:p w14:paraId="2A4D68A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0.58</w:t>
            </w:r>
          </w:p>
        </w:tc>
        <w:tc>
          <w:tcPr>
            <w:tcW w:w="767" w:type="dxa"/>
            <w:tcBorders>
              <w:top w:val="nil"/>
              <w:left w:val="nil"/>
              <w:bottom w:val="nil"/>
              <w:right w:val="nil"/>
            </w:tcBorders>
            <w:shd w:val="clear" w:color="auto" w:fill="auto"/>
            <w:noWrap/>
            <w:vAlign w:val="bottom"/>
            <w:hideMark/>
          </w:tcPr>
          <w:p w14:paraId="76B515D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-2.79</w:t>
            </w:r>
          </w:p>
        </w:tc>
        <w:tc>
          <w:tcPr>
            <w:tcW w:w="821" w:type="dxa"/>
            <w:tcBorders>
              <w:top w:val="nil"/>
              <w:left w:val="nil"/>
              <w:bottom w:val="nil"/>
              <w:right w:val="nil"/>
            </w:tcBorders>
            <w:shd w:val="clear" w:color="auto" w:fill="auto"/>
            <w:noWrap/>
            <w:vAlign w:val="bottom"/>
            <w:hideMark/>
          </w:tcPr>
          <w:p w14:paraId="1C13383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-0.47</w:t>
            </w:r>
          </w:p>
        </w:tc>
        <w:tc>
          <w:tcPr>
            <w:tcW w:w="938" w:type="dxa"/>
            <w:tcBorders>
              <w:top w:val="nil"/>
              <w:left w:val="nil"/>
              <w:bottom w:val="nil"/>
              <w:right w:val="nil"/>
            </w:tcBorders>
            <w:shd w:val="clear" w:color="auto" w:fill="auto"/>
            <w:noWrap/>
            <w:vAlign w:val="bottom"/>
            <w:hideMark/>
          </w:tcPr>
          <w:p w14:paraId="2860538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-0.12</w:t>
            </w:r>
          </w:p>
        </w:tc>
        <w:tc>
          <w:tcPr>
            <w:tcW w:w="766" w:type="dxa"/>
            <w:tcBorders>
              <w:top w:val="nil"/>
              <w:left w:val="nil"/>
              <w:bottom w:val="nil"/>
              <w:right w:val="nil"/>
            </w:tcBorders>
            <w:shd w:val="clear" w:color="auto" w:fill="auto"/>
            <w:noWrap/>
            <w:vAlign w:val="bottom"/>
            <w:hideMark/>
          </w:tcPr>
          <w:p w14:paraId="12700DD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736" w:type="dxa"/>
            <w:tcBorders>
              <w:top w:val="nil"/>
              <w:left w:val="nil"/>
              <w:bottom w:val="nil"/>
              <w:right w:val="nil"/>
            </w:tcBorders>
            <w:shd w:val="clear" w:color="auto" w:fill="auto"/>
            <w:noWrap/>
            <w:vAlign w:val="bottom"/>
            <w:hideMark/>
          </w:tcPr>
          <w:p w14:paraId="6FD0081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1.32</w:t>
            </w:r>
          </w:p>
        </w:tc>
      </w:tr>
      <w:tr w:rsidR="001E0CFF" w:rsidRPr="002B3278" w14:paraId="65338A52" w14:textId="77777777" w:rsidTr="002B3278">
        <w:trPr>
          <w:trHeight w:val="300"/>
        </w:trPr>
        <w:tc>
          <w:tcPr>
            <w:tcW w:w="3261" w:type="dxa"/>
            <w:tcBorders>
              <w:top w:val="nil"/>
              <w:left w:val="nil"/>
              <w:bottom w:val="nil"/>
              <w:right w:val="nil"/>
            </w:tcBorders>
            <w:shd w:val="clear" w:color="auto" w:fill="auto"/>
            <w:noWrap/>
            <w:vAlign w:val="bottom"/>
            <w:hideMark/>
          </w:tcPr>
          <w:p w14:paraId="2DCF15D0" w14:textId="77777777" w:rsidR="001E0CFF" w:rsidRPr="002B3278" w:rsidRDefault="001E0CFF" w:rsidP="001E0CFF">
            <w:pPr>
              <w:jc w:val="right"/>
              <w:rPr>
                <w:rFonts w:eastAsia="Times New Roman" w:cstheme="minorHAnsi"/>
                <w:color w:val="000000"/>
                <w:sz w:val="20"/>
                <w:szCs w:val="20"/>
              </w:rPr>
            </w:pPr>
          </w:p>
        </w:tc>
        <w:tc>
          <w:tcPr>
            <w:tcW w:w="567" w:type="dxa"/>
            <w:tcBorders>
              <w:top w:val="nil"/>
              <w:left w:val="nil"/>
              <w:bottom w:val="nil"/>
              <w:right w:val="nil"/>
            </w:tcBorders>
            <w:shd w:val="clear" w:color="auto" w:fill="auto"/>
            <w:noWrap/>
            <w:vAlign w:val="bottom"/>
            <w:hideMark/>
          </w:tcPr>
          <w:p w14:paraId="7C84A786"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081BAD27"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28CE732E"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13258687"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21A6A237"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10A9E22A"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605611FD"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60FD019B" w14:textId="77777777" w:rsidR="001E0CFF" w:rsidRPr="002B3278" w:rsidRDefault="001E0CFF" w:rsidP="001E0CFF">
            <w:pPr>
              <w:rPr>
                <w:rFonts w:eastAsia="Times New Roman" w:cstheme="minorHAnsi"/>
                <w:sz w:val="20"/>
                <w:szCs w:val="20"/>
              </w:rPr>
            </w:pPr>
          </w:p>
        </w:tc>
      </w:tr>
      <w:tr w:rsidR="001E0CFF" w:rsidRPr="002B3278" w14:paraId="68E71A01" w14:textId="77777777" w:rsidTr="002B3278">
        <w:trPr>
          <w:trHeight w:val="300"/>
        </w:trPr>
        <w:tc>
          <w:tcPr>
            <w:tcW w:w="3261" w:type="dxa"/>
            <w:tcBorders>
              <w:top w:val="nil"/>
              <w:left w:val="nil"/>
              <w:bottom w:val="nil"/>
              <w:right w:val="nil"/>
            </w:tcBorders>
            <w:shd w:val="clear" w:color="auto" w:fill="auto"/>
            <w:noWrap/>
            <w:vAlign w:val="bottom"/>
            <w:hideMark/>
          </w:tcPr>
          <w:p w14:paraId="054E6507"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Other variables:</w:t>
            </w:r>
          </w:p>
        </w:tc>
        <w:tc>
          <w:tcPr>
            <w:tcW w:w="567" w:type="dxa"/>
            <w:tcBorders>
              <w:top w:val="nil"/>
              <w:left w:val="nil"/>
              <w:bottom w:val="nil"/>
              <w:right w:val="nil"/>
            </w:tcBorders>
            <w:shd w:val="clear" w:color="auto" w:fill="auto"/>
            <w:noWrap/>
            <w:vAlign w:val="bottom"/>
            <w:hideMark/>
          </w:tcPr>
          <w:p w14:paraId="2B866CF9" w14:textId="77777777" w:rsidR="001E0CFF" w:rsidRPr="002B3278" w:rsidRDefault="001E0CFF" w:rsidP="001E0CFF">
            <w:pPr>
              <w:rPr>
                <w:rFonts w:eastAsia="Times New Roman" w:cstheme="minorHAnsi"/>
                <w:b/>
                <w:bCs/>
                <w:color w:val="000000"/>
                <w:sz w:val="20"/>
                <w:szCs w:val="20"/>
              </w:rPr>
            </w:pPr>
          </w:p>
        </w:tc>
        <w:tc>
          <w:tcPr>
            <w:tcW w:w="821" w:type="dxa"/>
            <w:tcBorders>
              <w:top w:val="nil"/>
              <w:left w:val="nil"/>
              <w:bottom w:val="nil"/>
              <w:right w:val="nil"/>
            </w:tcBorders>
            <w:shd w:val="clear" w:color="auto" w:fill="auto"/>
            <w:noWrap/>
            <w:vAlign w:val="bottom"/>
            <w:hideMark/>
          </w:tcPr>
          <w:p w14:paraId="5F0F6578"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6CB4A4B4"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691F6DBF"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75C22900"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34ABE56E"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418D6D53"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69A7E41D" w14:textId="77777777" w:rsidR="001E0CFF" w:rsidRPr="002B3278" w:rsidRDefault="001E0CFF" w:rsidP="001E0CFF">
            <w:pPr>
              <w:rPr>
                <w:rFonts w:eastAsia="Times New Roman" w:cstheme="minorHAnsi"/>
                <w:sz w:val="20"/>
                <w:szCs w:val="20"/>
              </w:rPr>
            </w:pPr>
          </w:p>
        </w:tc>
      </w:tr>
      <w:tr w:rsidR="001E0CFF" w:rsidRPr="002B3278" w14:paraId="360CFEED" w14:textId="77777777" w:rsidTr="002B3278">
        <w:trPr>
          <w:trHeight w:val="300"/>
        </w:trPr>
        <w:tc>
          <w:tcPr>
            <w:tcW w:w="3261" w:type="dxa"/>
            <w:tcBorders>
              <w:top w:val="nil"/>
              <w:left w:val="nil"/>
              <w:bottom w:val="nil"/>
              <w:right w:val="nil"/>
            </w:tcBorders>
            <w:shd w:val="clear" w:color="auto" w:fill="auto"/>
            <w:noWrap/>
            <w:vAlign w:val="bottom"/>
            <w:hideMark/>
          </w:tcPr>
          <w:p w14:paraId="04DD80AB"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POSTAL BALLOT</w:t>
            </w:r>
          </w:p>
        </w:tc>
        <w:tc>
          <w:tcPr>
            <w:tcW w:w="567" w:type="dxa"/>
            <w:tcBorders>
              <w:top w:val="nil"/>
              <w:left w:val="nil"/>
              <w:bottom w:val="nil"/>
              <w:right w:val="nil"/>
            </w:tcBorders>
            <w:shd w:val="clear" w:color="auto" w:fill="auto"/>
            <w:noWrap/>
            <w:vAlign w:val="bottom"/>
            <w:hideMark/>
          </w:tcPr>
          <w:p w14:paraId="409DCD9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663</w:t>
            </w:r>
          </w:p>
        </w:tc>
        <w:tc>
          <w:tcPr>
            <w:tcW w:w="821" w:type="dxa"/>
            <w:tcBorders>
              <w:top w:val="nil"/>
              <w:left w:val="nil"/>
              <w:bottom w:val="nil"/>
              <w:right w:val="nil"/>
            </w:tcBorders>
            <w:shd w:val="clear" w:color="auto" w:fill="auto"/>
            <w:noWrap/>
            <w:vAlign w:val="bottom"/>
            <w:hideMark/>
          </w:tcPr>
          <w:p w14:paraId="00E5709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0.18</w:t>
            </w:r>
          </w:p>
        </w:tc>
        <w:tc>
          <w:tcPr>
            <w:tcW w:w="821" w:type="dxa"/>
            <w:tcBorders>
              <w:top w:val="nil"/>
              <w:left w:val="nil"/>
              <w:bottom w:val="nil"/>
              <w:right w:val="nil"/>
            </w:tcBorders>
            <w:shd w:val="clear" w:color="auto" w:fill="auto"/>
            <w:noWrap/>
            <w:vAlign w:val="bottom"/>
            <w:hideMark/>
          </w:tcPr>
          <w:p w14:paraId="7D1D8DB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0.39</w:t>
            </w:r>
          </w:p>
        </w:tc>
        <w:tc>
          <w:tcPr>
            <w:tcW w:w="767" w:type="dxa"/>
            <w:tcBorders>
              <w:top w:val="nil"/>
              <w:left w:val="nil"/>
              <w:bottom w:val="nil"/>
              <w:right w:val="nil"/>
            </w:tcBorders>
            <w:shd w:val="clear" w:color="auto" w:fill="auto"/>
            <w:noWrap/>
            <w:vAlign w:val="bottom"/>
            <w:hideMark/>
          </w:tcPr>
          <w:p w14:paraId="71D3D55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66AD5BA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938" w:type="dxa"/>
            <w:tcBorders>
              <w:top w:val="nil"/>
              <w:left w:val="nil"/>
              <w:bottom w:val="nil"/>
              <w:right w:val="nil"/>
            </w:tcBorders>
            <w:shd w:val="clear" w:color="auto" w:fill="auto"/>
            <w:noWrap/>
            <w:vAlign w:val="bottom"/>
            <w:hideMark/>
          </w:tcPr>
          <w:p w14:paraId="23A0F94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766" w:type="dxa"/>
            <w:tcBorders>
              <w:top w:val="nil"/>
              <w:left w:val="nil"/>
              <w:bottom w:val="nil"/>
              <w:right w:val="nil"/>
            </w:tcBorders>
            <w:shd w:val="clear" w:color="auto" w:fill="auto"/>
            <w:noWrap/>
            <w:vAlign w:val="bottom"/>
            <w:hideMark/>
          </w:tcPr>
          <w:p w14:paraId="718888D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736" w:type="dxa"/>
            <w:tcBorders>
              <w:top w:val="nil"/>
              <w:left w:val="nil"/>
              <w:bottom w:val="nil"/>
              <w:right w:val="nil"/>
            </w:tcBorders>
            <w:shd w:val="clear" w:color="auto" w:fill="auto"/>
            <w:noWrap/>
            <w:vAlign w:val="bottom"/>
            <w:hideMark/>
          </w:tcPr>
          <w:p w14:paraId="1DF75F3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r>
      <w:tr w:rsidR="001E0CFF" w:rsidRPr="002B3278" w14:paraId="1D6F811F" w14:textId="77777777" w:rsidTr="002B3278">
        <w:trPr>
          <w:trHeight w:val="300"/>
        </w:trPr>
        <w:tc>
          <w:tcPr>
            <w:tcW w:w="3261" w:type="dxa"/>
            <w:tcBorders>
              <w:top w:val="nil"/>
              <w:left w:val="nil"/>
              <w:bottom w:val="nil"/>
              <w:right w:val="nil"/>
            </w:tcBorders>
            <w:shd w:val="clear" w:color="auto" w:fill="auto"/>
            <w:noWrap/>
            <w:vAlign w:val="bottom"/>
            <w:hideMark/>
          </w:tcPr>
          <w:p w14:paraId="2B9C8F2F"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SPECIAL RESOLUTION</w:t>
            </w:r>
          </w:p>
        </w:tc>
        <w:tc>
          <w:tcPr>
            <w:tcW w:w="567" w:type="dxa"/>
            <w:tcBorders>
              <w:top w:val="nil"/>
              <w:left w:val="nil"/>
              <w:bottom w:val="nil"/>
              <w:right w:val="nil"/>
            </w:tcBorders>
            <w:shd w:val="clear" w:color="auto" w:fill="auto"/>
            <w:noWrap/>
            <w:vAlign w:val="bottom"/>
            <w:hideMark/>
          </w:tcPr>
          <w:p w14:paraId="302DC3A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661</w:t>
            </w:r>
          </w:p>
        </w:tc>
        <w:tc>
          <w:tcPr>
            <w:tcW w:w="821" w:type="dxa"/>
            <w:tcBorders>
              <w:top w:val="nil"/>
              <w:left w:val="nil"/>
              <w:bottom w:val="nil"/>
              <w:right w:val="nil"/>
            </w:tcBorders>
            <w:shd w:val="clear" w:color="auto" w:fill="auto"/>
            <w:noWrap/>
            <w:vAlign w:val="bottom"/>
            <w:hideMark/>
          </w:tcPr>
          <w:p w14:paraId="66B8E09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0.37</w:t>
            </w:r>
          </w:p>
        </w:tc>
        <w:tc>
          <w:tcPr>
            <w:tcW w:w="821" w:type="dxa"/>
            <w:tcBorders>
              <w:top w:val="nil"/>
              <w:left w:val="nil"/>
              <w:bottom w:val="nil"/>
              <w:right w:val="nil"/>
            </w:tcBorders>
            <w:shd w:val="clear" w:color="auto" w:fill="auto"/>
            <w:noWrap/>
            <w:vAlign w:val="bottom"/>
            <w:hideMark/>
          </w:tcPr>
          <w:p w14:paraId="5D8D271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0.48</w:t>
            </w:r>
          </w:p>
        </w:tc>
        <w:tc>
          <w:tcPr>
            <w:tcW w:w="767" w:type="dxa"/>
            <w:tcBorders>
              <w:top w:val="nil"/>
              <w:left w:val="nil"/>
              <w:bottom w:val="nil"/>
              <w:right w:val="nil"/>
            </w:tcBorders>
            <w:shd w:val="clear" w:color="auto" w:fill="auto"/>
            <w:noWrap/>
            <w:vAlign w:val="bottom"/>
            <w:hideMark/>
          </w:tcPr>
          <w:p w14:paraId="0B22AC6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4C3D951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938" w:type="dxa"/>
            <w:tcBorders>
              <w:top w:val="nil"/>
              <w:left w:val="nil"/>
              <w:bottom w:val="nil"/>
              <w:right w:val="nil"/>
            </w:tcBorders>
            <w:shd w:val="clear" w:color="auto" w:fill="auto"/>
            <w:noWrap/>
            <w:vAlign w:val="bottom"/>
            <w:hideMark/>
          </w:tcPr>
          <w:p w14:paraId="718E1FE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766" w:type="dxa"/>
            <w:tcBorders>
              <w:top w:val="nil"/>
              <w:left w:val="nil"/>
              <w:bottom w:val="nil"/>
              <w:right w:val="nil"/>
            </w:tcBorders>
            <w:shd w:val="clear" w:color="auto" w:fill="auto"/>
            <w:noWrap/>
            <w:vAlign w:val="bottom"/>
            <w:hideMark/>
          </w:tcPr>
          <w:p w14:paraId="746A946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736" w:type="dxa"/>
            <w:tcBorders>
              <w:top w:val="nil"/>
              <w:left w:val="nil"/>
              <w:bottom w:val="nil"/>
              <w:right w:val="nil"/>
            </w:tcBorders>
            <w:shd w:val="clear" w:color="auto" w:fill="auto"/>
            <w:noWrap/>
            <w:vAlign w:val="bottom"/>
            <w:hideMark/>
          </w:tcPr>
          <w:p w14:paraId="37CBB87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r>
      <w:tr w:rsidR="001E0CFF" w:rsidRPr="002B3278" w14:paraId="4A782D0F" w14:textId="77777777" w:rsidTr="002B3278">
        <w:trPr>
          <w:trHeight w:val="300"/>
        </w:trPr>
        <w:tc>
          <w:tcPr>
            <w:tcW w:w="3261" w:type="dxa"/>
            <w:tcBorders>
              <w:top w:val="nil"/>
              <w:left w:val="nil"/>
              <w:bottom w:val="nil"/>
              <w:right w:val="nil"/>
            </w:tcBorders>
            <w:shd w:val="clear" w:color="auto" w:fill="auto"/>
            <w:noWrap/>
            <w:vAlign w:val="bottom"/>
            <w:hideMark/>
          </w:tcPr>
          <w:p w14:paraId="59B95355"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RESOLUTION_PASSED</w:t>
            </w:r>
          </w:p>
        </w:tc>
        <w:tc>
          <w:tcPr>
            <w:tcW w:w="567" w:type="dxa"/>
            <w:tcBorders>
              <w:top w:val="nil"/>
              <w:left w:val="nil"/>
              <w:bottom w:val="nil"/>
              <w:right w:val="nil"/>
            </w:tcBorders>
            <w:shd w:val="clear" w:color="auto" w:fill="auto"/>
            <w:noWrap/>
            <w:vAlign w:val="bottom"/>
            <w:hideMark/>
          </w:tcPr>
          <w:p w14:paraId="35BED24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663</w:t>
            </w:r>
          </w:p>
        </w:tc>
        <w:tc>
          <w:tcPr>
            <w:tcW w:w="821" w:type="dxa"/>
            <w:tcBorders>
              <w:top w:val="nil"/>
              <w:left w:val="nil"/>
              <w:bottom w:val="nil"/>
              <w:right w:val="nil"/>
            </w:tcBorders>
            <w:shd w:val="clear" w:color="auto" w:fill="auto"/>
            <w:noWrap/>
            <w:vAlign w:val="bottom"/>
            <w:hideMark/>
          </w:tcPr>
          <w:p w14:paraId="7494AA1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0.99</w:t>
            </w:r>
          </w:p>
        </w:tc>
        <w:tc>
          <w:tcPr>
            <w:tcW w:w="821" w:type="dxa"/>
            <w:tcBorders>
              <w:top w:val="nil"/>
              <w:left w:val="nil"/>
              <w:bottom w:val="nil"/>
              <w:right w:val="nil"/>
            </w:tcBorders>
            <w:shd w:val="clear" w:color="auto" w:fill="auto"/>
            <w:noWrap/>
            <w:vAlign w:val="bottom"/>
            <w:hideMark/>
          </w:tcPr>
          <w:p w14:paraId="064DB06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0.10</w:t>
            </w:r>
          </w:p>
        </w:tc>
        <w:tc>
          <w:tcPr>
            <w:tcW w:w="767" w:type="dxa"/>
            <w:tcBorders>
              <w:top w:val="nil"/>
              <w:left w:val="nil"/>
              <w:bottom w:val="nil"/>
              <w:right w:val="nil"/>
            </w:tcBorders>
            <w:shd w:val="clear" w:color="auto" w:fill="auto"/>
            <w:noWrap/>
            <w:vAlign w:val="bottom"/>
            <w:hideMark/>
          </w:tcPr>
          <w:p w14:paraId="6D7487D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2A8B9CE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938" w:type="dxa"/>
            <w:tcBorders>
              <w:top w:val="nil"/>
              <w:left w:val="nil"/>
              <w:bottom w:val="nil"/>
              <w:right w:val="nil"/>
            </w:tcBorders>
            <w:shd w:val="clear" w:color="auto" w:fill="auto"/>
            <w:noWrap/>
            <w:vAlign w:val="bottom"/>
            <w:hideMark/>
          </w:tcPr>
          <w:p w14:paraId="490EBEC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766" w:type="dxa"/>
            <w:tcBorders>
              <w:top w:val="nil"/>
              <w:left w:val="nil"/>
              <w:bottom w:val="nil"/>
              <w:right w:val="nil"/>
            </w:tcBorders>
            <w:shd w:val="clear" w:color="auto" w:fill="auto"/>
            <w:noWrap/>
            <w:vAlign w:val="bottom"/>
            <w:hideMark/>
          </w:tcPr>
          <w:p w14:paraId="55B8C97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736" w:type="dxa"/>
            <w:tcBorders>
              <w:top w:val="nil"/>
              <w:left w:val="nil"/>
              <w:bottom w:val="nil"/>
              <w:right w:val="nil"/>
            </w:tcBorders>
            <w:shd w:val="clear" w:color="auto" w:fill="auto"/>
            <w:noWrap/>
            <w:vAlign w:val="bottom"/>
            <w:hideMark/>
          </w:tcPr>
          <w:p w14:paraId="2D16459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r>
      <w:tr w:rsidR="001E0CFF" w:rsidRPr="002B3278" w14:paraId="2F3E883D" w14:textId="77777777" w:rsidTr="002B3278">
        <w:trPr>
          <w:trHeight w:val="300"/>
        </w:trPr>
        <w:tc>
          <w:tcPr>
            <w:tcW w:w="3261" w:type="dxa"/>
            <w:tcBorders>
              <w:top w:val="nil"/>
              <w:left w:val="nil"/>
              <w:bottom w:val="nil"/>
              <w:right w:val="nil"/>
            </w:tcBorders>
            <w:shd w:val="clear" w:color="auto" w:fill="auto"/>
            <w:noWrap/>
            <w:vAlign w:val="bottom"/>
            <w:hideMark/>
          </w:tcPr>
          <w:p w14:paraId="7F6580AC"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IIAS RECOMMENDATION</w:t>
            </w:r>
          </w:p>
        </w:tc>
        <w:tc>
          <w:tcPr>
            <w:tcW w:w="567" w:type="dxa"/>
            <w:tcBorders>
              <w:top w:val="nil"/>
              <w:left w:val="nil"/>
              <w:bottom w:val="nil"/>
              <w:right w:val="nil"/>
            </w:tcBorders>
            <w:shd w:val="clear" w:color="auto" w:fill="auto"/>
            <w:noWrap/>
            <w:vAlign w:val="bottom"/>
            <w:hideMark/>
          </w:tcPr>
          <w:p w14:paraId="740639B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660</w:t>
            </w:r>
          </w:p>
        </w:tc>
        <w:tc>
          <w:tcPr>
            <w:tcW w:w="821" w:type="dxa"/>
            <w:tcBorders>
              <w:top w:val="nil"/>
              <w:left w:val="nil"/>
              <w:bottom w:val="nil"/>
              <w:right w:val="nil"/>
            </w:tcBorders>
            <w:shd w:val="clear" w:color="auto" w:fill="auto"/>
            <w:noWrap/>
            <w:vAlign w:val="bottom"/>
            <w:hideMark/>
          </w:tcPr>
          <w:p w14:paraId="2DE1562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0.81</w:t>
            </w:r>
          </w:p>
        </w:tc>
        <w:tc>
          <w:tcPr>
            <w:tcW w:w="821" w:type="dxa"/>
            <w:tcBorders>
              <w:top w:val="nil"/>
              <w:left w:val="nil"/>
              <w:bottom w:val="nil"/>
              <w:right w:val="nil"/>
            </w:tcBorders>
            <w:shd w:val="clear" w:color="auto" w:fill="auto"/>
            <w:noWrap/>
            <w:vAlign w:val="bottom"/>
            <w:hideMark/>
          </w:tcPr>
          <w:p w14:paraId="38B22DC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0.39</w:t>
            </w:r>
          </w:p>
        </w:tc>
        <w:tc>
          <w:tcPr>
            <w:tcW w:w="767" w:type="dxa"/>
            <w:tcBorders>
              <w:top w:val="nil"/>
              <w:left w:val="nil"/>
              <w:bottom w:val="nil"/>
              <w:right w:val="nil"/>
            </w:tcBorders>
            <w:shd w:val="clear" w:color="auto" w:fill="auto"/>
            <w:noWrap/>
            <w:vAlign w:val="bottom"/>
            <w:hideMark/>
          </w:tcPr>
          <w:p w14:paraId="26939D9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081253D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938" w:type="dxa"/>
            <w:tcBorders>
              <w:top w:val="nil"/>
              <w:left w:val="nil"/>
              <w:bottom w:val="nil"/>
              <w:right w:val="nil"/>
            </w:tcBorders>
            <w:shd w:val="clear" w:color="auto" w:fill="auto"/>
            <w:noWrap/>
            <w:vAlign w:val="bottom"/>
            <w:hideMark/>
          </w:tcPr>
          <w:p w14:paraId="42276E1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766" w:type="dxa"/>
            <w:tcBorders>
              <w:top w:val="nil"/>
              <w:left w:val="nil"/>
              <w:bottom w:val="nil"/>
              <w:right w:val="nil"/>
            </w:tcBorders>
            <w:shd w:val="clear" w:color="auto" w:fill="auto"/>
            <w:noWrap/>
            <w:vAlign w:val="bottom"/>
            <w:hideMark/>
          </w:tcPr>
          <w:p w14:paraId="7DB671E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c>
          <w:tcPr>
            <w:tcW w:w="736" w:type="dxa"/>
            <w:tcBorders>
              <w:top w:val="nil"/>
              <w:left w:val="nil"/>
              <w:bottom w:val="nil"/>
              <w:right w:val="nil"/>
            </w:tcBorders>
            <w:shd w:val="clear" w:color="auto" w:fill="auto"/>
            <w:noWrap/>
            <w:vAlign w:val="bottom"/>
            <w:hideMark/>
          </w:tcPr>
          <w:p w14:paraId="5B3C315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w:t>
            </w:r>
          </w:p>
        </w:tc>
      </w:tr>
      <w:tr w:rsidR="001E0CFF" w:rsidRPr="002B3278" w14:paraId="0EC6316F" w14:textId="77777777" w:rsidTr="002B3278">
        <w:trPr>
          <w:trHeight w:val="300"/>
        </w:trPr>
        <w:tc>
          <w:tcPr>
            <w:tcW w:w="3261" w:type="dxa"/>
            <w:tcBorders>
              <w:top w:val="nil"/>
              <w:left w:val="nil"/>
              <w:bottom w:val="nil"/>
              <w:right w:val="nil"/>
            </w:tcBorders>
            <w:shd w:val="clear" w:color="auto" w:fill="auto"/>
            <w:noWrap/>
            <w:vAlign w:val="bottom"/>
            <w:hideMark/>
          </w:tcPr>
          <w:p w14:paraId="1E538797" w14:textId="77777777" w:rsidR="00A57BC1"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RPT TRANSACTION VALUE</w:t>
            </w:r>
          </w:p>
          <w:p w14:paraId="0CFD62A1" w14:textId="54C26116" w:rsidR="001E0CFF" w:rsidRPr="002B3278" w:rsidRDefault="00A57BC1" w:rsidP="001E0CFF">
            <w:pPr>
              <w:rPr>
                <w:rFonts w:eastAsia="Times New Roman" w:cstheme="minorHAnsi"/>
                <w:i/>
                <w:iCs/>
                <w:color w:val="000000"/>
                <w:sz w:val="20"/>
                <w:szCs w:val="20"/>
              </w:rPr>
            </w:pPr>
            <w:r w:rsidRPr="002B3278">
              <w:rPr>
                <w:rFonts w:eastAsia="Times New Roman" w:cstheme="minorHAnsi"/>
                <w:i/>
                <w:iCs/>
                <w:color w:val="000000"/>
                <w:sz w:val="20"/>
                <w:szCs w:val="20"/>
              </w:rPr>
              <w:t>(in millions</w:t>
            </w:r>
            <w:r>
              <w:rPr>
                <w:rFonts w:eastAsia="Times New Roman" w:cstheme="minorHAnsi"/>
                <w:i/>
                <w:iCs/>
                <w:color w:val="000000"/>
                <w:sz w:val="20"/>
                <w:szCs w:val="20"/>
              </w:rPr>
              <w:t xml:space="preserve"> Rupees)</w:t>
            </w:r>
          </w:p>
        </w:tc>
        <w:tc>
          <w:tcPr>
            <w:tcW w:w="567" w:type="dxa"/>
            <w:tcBorders>
              <w:top w:val="nil"/>
              <w:left w:val="nil"/>
              <w:bottom w:val="nil"/>
              <w:right w:val="nil"/>
            </w:tcBorders>
            <w:shd w:val="clear" w:color="auto" w:fill="auto"/>
            <w:noWrap/>
            <w:vAlign w:val="bottom"/>
            <w:hideMark/>
          </w:tcPr>
          <w:p w14:paraId="6FBD857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569</w:t>
            </w:r>
          </w:p>
        </w:tc>
        <w:tc>
          <w:tcPr>
            <w:tcW w:w="821" w:type="dxa"/>
            <w:tcBorders>
              <w:top w:val="nil"/>
              <w:left w:val="nil"/>
              <w:bottom w:val="nil"/>
              <w:right w:val="nil"/>
            </w:tcBorders>
            <w:shd w:val="clear" w:color="auto" w:fill="auto"/>
            <w:noWrap/>
            <w:vAlign w:val="bottom"/>
            <w:hideMark/>
          </w:tcPr>
          <w:p w14:paraId="54B705C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185.88</w:t>
            </w:r>
          </w:p>
        </w:tc>
        <w:tc>
          <w:tcPr>
            <w:tcW w:w="821" w:type="dxa"/>
            <w:tcBorders>
              <w:top w:val="nil"/>
              <w:left w:val="nil"/>
              <w:bottom w:val="nil"/>
              <w:right w:val="nil"/>
            </w:tcBorders>
            <w:shd w:val="clear" w:color="auto" w:fill="auto"/>
            <w:noWrap/>
            <w:vAlign w:val="bottom"/>
            <w:hideMark/>
          </w:tcPr>
          <w:p w14:paraId="0C66207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618.62</w:t>
            </w:r>
          </w:p>
        </w:tc>
        <w:tc>
          <w:tcPr>
            <w:tcW w:w="767" w:type="dxa"/>
            <w:tcBorders>
              <w:top w:val="nil"/>
              <w:left w:val="nil"/>
              <w:bottom w:val="nil"/>
              <w:right w:val="nil"/>
            </w:tcBorders>
            <w:shd w:val="clear" w:color="auto" w:fill="auto"/>
            <w:noWrap/>
            <w:vAlign w:val="bottom"/>
            <w:hideMark/>
          </w:tcPr>
          <w:p w14:paraId="44F8B91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0.20</w:t>
            </w:r>
          </w:p>
        </w:tc>
        <w:tc>
          <w:tcPr>
            <w:tcW w:w="821" w:type="dxa"/>
            <w:tcBorders>
              <w:top w:val="nil"/>
              <w:left w:val="nil"/>
              <w:bottom w:val="nil"/>
              <w:right w:val="nil"/>
            </w:tcBorders>
            <w:shd w:val="clear" w:color="auto" w:fill="auto"/>
            <w:noWrap/>
            <w:vAlign w:val="bottom"/>
            <w:hideMark/>
          </w:tcPr>
          <w:p w14:paraId="14E1A03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5.00</w:t>
            </w:r>
          </w:p>
        </w:tc>
        <w:tc>
          <w:tcPr>
            <w:tcW w:w="938" w:type="dxa"/>
            <w:tcBorders>
              <w:top w:val="nil"/>
              <w:left w:val="nil"/>
              <w:bottom w:val="nil"/>
              <w:right w:val="nil"/>
            </w:tcBorders>
            <w:shd w:val="clear" w:color="auto" w:fill="auto"/>
            <w:noWrap/>
            <w:vAlign w:val="bottom"/>
            <w:hideMark/>
          </w:tcPr>
          <w:p w14:paraId="2ECC374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12.60</w:t>
            </w:r>
          </w:p>
        </w:tc>
        <w:tc>
          <w:tcPr>
            <w:tcW w:w="766" w:type="dxa"/>
            <w:tcBorders>
              <w:top w:val="nil"/>
              <w:left w:val="nil"/>
              <w:bottom w:val="nil"/>
              <w:right w:val="nil"/>
            </w:tcBorders>
            <w:shd w:val="clear" w:color="auto" w:fill="auto"/>
            <w:noWrap/>
            <w:vAlign w:val="bottom"/>
            <w:hideMark/>
          </w:tcPr>
          <w:p w14:paraId="6B7225D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66.00</w:t>
            </w:r>
          </w:p>
        </w:tc>
        <w:tc>
          <w:tcPr>
            <w:tcW w:w="736" w:type="dxa"/>
            <w:tcBorders>
              <w:top w:val="nil"/>
              <w:left w:val="nil"/>
              <w:bottom w:val="nil"/>
              <w:right w:val="nil"/>
            </w:tcBorders>
            <w:shd w:val="clear" w:color="auto" w:fill="auto"/>
            <w:noWrap/>
            <w:vAlign w:val="bottom"/>
            <w:hideMark/>
          </w:tcPr>
          <w:p w14:paraId="1523858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5,393.00</w:t>
            </w:r>
          </w:p>
        </w:tc>
      </w:tr>
      <w:tr w:rsidR="001E0CFF" w:rsidRPr="002B3278" w14:paraId="1A813A3C" w14:textId="77777777" w:rsidTr="002B3278">
        <w:trPr>
          <w:trHeight w:val="300"/>
        </w:trPr>
        <w:tc>
          <w:tcPr>
            <w:tcW w:w="3261" w:type="dxa"/>
            <w:tcBorders>
              <w:top w:val="nil"/>
              <w:left w:val="nil"/>
              <w:bottom w:val="nil"/>
              <w:right w:val="nil"/>
            </w:tcBorders>
            <w:shd w:val="clear" w:color="auto" w:fill="auto"/>
            <w:noWrap/>
            <w:vAlign w:val="bottom"/>
            <w:hideMark/>
          </w:tcPr>
          <w:p w14:paraId="64633B4D"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RPT/TOTAL ASSETS</w:t>
            </w:r>
          </w:p>
        </w:tc>
        <w:tc>
          <w:tcPr>
            <w:tcW w:w="567" w:type="dxa"/>
            <w:tcBorders>
              <w:top w:val="nil"/>
              <w:left w:val="nil"/>
              <w:bottom w:val="nil"/>
              <w:right w:val="nil"/>
            </w:tcBorders>
            <w:shd w:val="clear" w:color="auto" w:fill="auto"/>
            <w:noWrap/>
            <w:vAlign w:val="bottom"/>
            <w:hideMark/>
          </w:tcPr>
          <w:p w14:paraId="4DE6D9D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529</w:t>
            </w:r>
          </w:p>
        </w:tc>
        <w:tc>
          <w:tcPr>
            <w:tcW w:w="821" w:type="dxa"/>
            <w:tcBorders>
              <w:top w:val="nil"/>
              <w:left w:val="nil"/>
              <w:bottom w:val="nil"/>
              <w:right w:val="nil"/>
            </w:tcBorders>
            <w:shd w:val="clear" w:color="auto" w:fill="auto"/>
            <w:noWrap/>
            <w:vAlign w:val="bottom"/>
            <w:hideMark/>
          </w:tcPr>
          <w:p w14:paraId="2C407B1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0.65</w:t>
            </w:r>
          </w:p>
        </w:tc>
        <w:tc>
          <w:tcPr>
            <w:tcW w:w="821" w:type="dxa"/>
            <w:tcBorders>
              <w:top w:val="nil"/>
              <w:left w:val="nil"/>
              <w:bottom w:val="nil"/>
              <w:right w:val="nil"/>
            </w:tcBorders>
            <w:shd w:val="clear" w:color="auto" w:fill="auto"/>
            <w:noWrap/>
            <w:vAlign w:val="bottom"/>
            <w:hideMark/>
          </w:tcPr>
          <w:p w14:paraId="40BE83E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2.13</w:t>
            </w:r>
          </w:p>
        </w:tc>
        <w:tc>
          <w:tcPr>
            <w:tcW w:w="767" w:type="dxa"/>
            <w:tcBorders>
              <w:top w:val="nil"/>
              <w:left w:val="nil"/>
              <w:bottom w:val="nil"/>
              <w:right w:val="nil"/>
            </w:tcBorders>
            <w:shd w:val="clear" w:color="auto" w:fill="auto"/>
            <w:noWrap/>
            <w:vAlign w:val="bottom"/>
            <w:hideMark/>
          </w:tcPr>
          <w:p w14:paraId="67D74CB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49A72F3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0.02</w:t>
            </w:r>
          </w:p>
        </w:tc>
        <w:tc>
          <w:tcPr>
            <w:tcW w:w="938" w:type="dxa"/>
            <w:tcBorders>
              <w:top w:val="nil"/>
              <w:left w:val="nil"/>
              <w:bottom w:val="nil"/>
              <w:right w:val="nil"/>
            </w:tcBorders>
            <w:shd w:val="clear" w:color="auto" w:fill="auto"/>
            <w:noWrap/>
            <w:vAlign w:val="bottom"/>
            <w:hideMark/>
          </w:tcPr>
          <w:p w14:paraId="2DCA70C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0.07</w:t>
            </w:r>
          </w:p>
        </w:tc>
        <w:tc>
          <w:tcPr>
            <w:tcW w:w="766" w:type="dxa"/>
            <w:tcBorders>
              <w:top w:val="nil"/>
              <w:left w:val="nil"/>
              <w:bottom w:val="nil"/>
              <w:right w:val="nil"/>
            </w:tcBorders>
            <w:shd w:val="clear" w:color="auto" w:fill="auto"/>
            <w:noWrap/>
            <w:vAlign w:val="bottom"/>
            <w:hideMark/>
          </w:tcPr>
          <w:p w14:paraId="4A552D1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0.29</w:t>
            </w:r>
          </w:p>
        </w:tc>
        <w:tc>
          <w:tcPr>
            <w:tcW w:w="736" w:type="dxa"/>
            <w:tcBorders>
              <w:top w:val="nil"/>
              <w:left w:val="nil"/>
              <w:bottom w:val="nil"/>
              <w:right w:val="nil"/>
            </w:tcBorders>
            <w:shd w:val="clear" w:color="auto" w:fill="auto"/>
            <w:noWrap/>
            <w:vAlign w:val="bottom"/>
            <w:hideMark/>
          </w:tcPr>
          <w:p w14:paraId="40AF273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14.94</w:t>
            </w:r>
          </w:p>
        </w:tc>
      </w:tr>
      <w:tr w:rsidR="001E0CFF" w:rsidRPr="002B3278" w14:paraId="65AA133F" w14:textId="77777777" w:rsidTr="002B3278">
        <w:trPr>
          <w:trHeight w:val="300"/>
        </w:trPr>
        <w:tc>
          <w:tcPr>
            <w:tcW w:w="3261" w:type="dxa"/>
            <w:tcBorders>
              <w:top w:val="nil"/>
              <w:left w:val="nil"/>
              <w:bottom w:val="nil"/>
              <w:right w:val="nil"/>
            </w:tcBorders>
            <w:shd w:val="clear" w:color="auto" w:fill="auto"/>
            <w:noWrap/>
            <w:vAlign w:val="bottom"/>
            <w:hideMark/>
          </w:tcPr>
          <w:p w14:paraId="6AA3D8ED" w14:textId="77777777" w:rsidR="001E0CFF" w:rsidRPr="002B3278" w:rsidRDefault="001E0CFF" w:rsidP="001E0CFF">
            <w:pPr>
              <w:jc w:val="right"/>
              <w:rPr>
                <w:rFonts w:eastAsia="Times New Roman" w:cstheme="minorHAnsi"/>
                <w:color w:val="000000"/>
                <w:sz w:val="20"/>
                <w:szCs w:val="20"/>
              </w:rPr>
            </w:pPr>
          </w:p>
        </w:tc>
        <w:tc>
          <w:tcPr>
            <w:tcW w:w="567" w:type="dxa"/>
            <w:tcBorders>
              <w:top w:val="nil"/>
              <w:left w:val="nil"/>
              <w:bottom w:val="nil"/>
              <w:right w:val="nil"/>
            </w:tcBorders>
            <w:shd w:val="clear" w:color="auto" w:fill="auto"/>
            <w:noWrap/>
            <w:vAlign w:val="bottom"/>
            <w:hideMark/>
          </w:tcPr>
          <w:p w14:paraId="2AC5E0BA"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044B173E"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4FC74691"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2AEB067D"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1564ACC6"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5244E6B8"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385402ED"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0A010F06" w14:textId="77777777" w:rsidR="001E0CFF" w:rsidRPr="002B3278" w:rsidRDefault="001E0CFF" w:rsidP="001E0CFF">
            <w:pPr>
              <w:rPr>
                <w:rFonts w:eastAsia="Times New Roman" w:cstheme="minorHAnsi"/>
                <w:sz w:val="20"/>
                <w:szCs w:val="20"/>
              </w:rPr>
            </w:pPr>
          </w:p>
        </w:tc>
      </w:tr>
      <w:tr w:rsidR="001E0CFF" w:rsidRPr="002B3278" w14:paraId="4CB6C62A" w14:textId="77777777" w:rsidTr="002B3278">
        <w:trPr>
          <w:trHeight w:val="300"/>
        </w:trPr>
        <w:tc>
          <w:tcPr>
            <w:tcW w:w="3261" w:type="dxa"/>
            <w:tcBorders>
              <w:top w:val="nil"/>
              <w:left w:val="nil"/>
              <w:bottom w:val="nil"/>
              <w:right w:val="nil"/>
            </w:tcBorders>
            <w:shd w:val="clear" w:color="auto" w:fill="auto"/>
            <w:noWrap/>
            <w:vAlign w:val="bottom"/>
            <w:hideMark/>
          </w:tcPr>
          <w:p w14:paraId="48B14F52" w14:textId="77777777" w:rsidR="001E0CFF" w:rsidRPr="002B3278" w:rsidRDefault="001E0CFF" w:rsidP="001E0CFF">
            <w:pPr>
              <w:rPr>
                <w:rFonts w:eastAsia="Times New Roman" w:cstheme="minorHAnsi"/>
                <w:b/>
                <w:bCs/>
                <w:color w:val="000000"/>
                <w:sz w:val="20"/>
                <w:szCs w:val="20"/>
              </w:rPr>
            </w:pPr>
            <w:r w:rsidRPr="002B3278">
              <w:rPr>
                <w:rFonts w:eastAsia="Times New Roman" w:cstheme="minorHAnsi"/>
                <w:b/>
                <w:bCs/>
                <w:color w:val="000000"/>
                <w:sz w:val="20"/>
                <w:szCs w:val="20"/>
              </w:rPr>
              <w:t>Firm characteristics:</w:t>
            </w:r>
          </w:p>
        </w:tc>
        <w:tc>
          <w:tcPr>
            <w:tcW w:w="567" w:type="dxa"/>
            <w:tcBorders>
              <w:top w:val="nil"/>
              <w:left w:val="nil"/>
              <w:bottom w:val="nil"/>
              <w:right w:val="nil"/>
            </w:tcBorders>
            <w:shd w:val="clear" w:color="auto" w:fill="auto"/>
            <w:noWrap/>
            <w:vAlign w:val="bottom"/>
            <w:hideMark/>
          </w:tcPr>
          <w:p w14:paraId="553CEB28" w14:textId="77777777" w:rsidR="001E0CFF" w:rsidRPr="002B3278" w:rsidRDefault="001E0CFF" w:rsidP="001E0CFF">
            <w:pPr>
              <w:rPr>
                <w:rFonts w:eastAsia="Times New Roman" w:cstheme="minorHAnsi"/>
                <w:b/>
                <w:bCs/>
                <w:color w:val="000000"/>
                <w:sz w:val="20"/>
                <w:szCs w:val="20"/>
              </w:rPr>
            </w:pPr>
          </w:p>
        </w:tc>
        <w:tc>
          <w:tcPr>
            <w:tcW w:w="821" w:type="dxa"/>
            <w:tcBorders>
              <w:top w:val="nil"/>
              <w:left w:val="nil"/>
              <w:bottom w:val="nil"/>
              <w:right w:val="nil"/>
            </w:tcBorders>
            <w:shd w:val="clear" w:color="auto" w:fill="auto"/>
            <w:noWrap/>
            <w:vAlign w:val="bottom"/>
            <w:hideMark/>
          </w:tcPr>
          <w:p w14:paraId="1D164CBA"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7B8A4453" w14:textId="77777777" w:rsidR="001E0CFF" w:rsidRPr="002B3278" w:rsidRDefault="001E0CFF" w:rsidP="001E0CFF">
            <w:pPr>
              <w:rPr>
                <w:rFonts w:eastAsia="Times New Roman" w:cstheme="minorHAnsi"/>
                <w:sz w:val="20"/>
                <w:szCs w:val="20"/>
              </w:rPr>
            </w:pPr>
          </w:p>
        </w:tc>
        <w:tc>
          <w:tcPr>
            <w:tcW w:w="767" w:type="dxa"/>
            <w:tcBorders>
              <w:top w:val="nil"/>
              <w:left w:val="nil"/>
              <w:bottom w:val="nil"/>
              <w:right w:val="nil"/>
            </w:tcBorders>
            <w:shd w:val="clear" w:color="auto" w:fill="auto"/>
            <w:noWrap/>
            <w:vAlign w:val="bottom"/>
            <w:hideMark/>
          </w:tcPr>
          <w:p w14:paraId="026C0C4F" w14:textId="77777777" w:rsidR="001E0CFF" w:rsidRPr="002B3278" w:rsidRDefault="001E0CFF" w:rsidP="001E0CFF">
            <w:pPr>
              <w:rPr>
                <w:rFonts w:eastAsia="Times New Roman" w:cstheme="minorHAnsi"/>
                <w:sz w:val="20"/>
                <w:szCs w:val="20"/>
              </w:rPr>
            </w:pPr>
          </w:p>
        </w:tc>
        <w:tc>
          <w:tcPr>
            <w:tcW w:w="821" w:type="dxa"/>
            <w:tcBorders>
              <w:top w:val="nil"/>
              <w:left w:val="nil"/>
              <w:bottom w:val="nil"/>
              <w:right w:val="nil"/>
            </w:tcBorders>
            <w:shd w:val="clear" w:color="auto" w:fill="auto"/>
            <w:noWrap/>
            <w:vAlign w:val="bottom"/>
            <w:hideMark/>
          </w:tcPr>
          <w:p w14:paraId="0620D266" w14:textId="77777777" w:rsidR="001E0CFF" w:rsidRPr="002B3278" w:rsidRDefault="001E0CFF" w:rsidP="001E0CFF">
            <w:pPr>
              <w:rPr>
                <w:rFonts w:eastAsia="Times New Roman" w:cstheme="minorHAnsi"/>
                <w:sz w:val="20"/>
                <w:szCs w:val="20"/>
              </w:rPr>
            </w:pPr>
          </w:p>
        </w:tc>
        <w:tc>
          <w:tcPr>
            <w:tcW w:w="938" w:type="dxa"/>
            <w:tcBorders>
              <w:top w:val="nil"/>
              <w:left w:val="nil"/>
              <w:bottom w:val="nil"/>
              <w:right w:val="nil"/>
            </w:tcBorders>
            <w:shd w:val="clear" w:color="auto" w:fill="auto"/>
            <w:noWrap/>
            <w:vAlign w:val="bottom"/>
            <w:hideMark/>
          </w:tcPr>
          <w:p w14:paraId="3434402A" w14:textId="77777777" w:rsidR="001E0CFF" w:rsidRPr="002B3278" w:rsidRDefault="001E0CFF" w:rsidP="001E0CFF">
            <w:pPr>
              <w:rPr>
                <w:rFonts w:eastAsia="Times New Roman" w:cstheme="minorHAnsi"/>
                <w:sz w:val="20"/>
                <w:szCs w:val="20"/>
              </w:rPr>
            </w:pPr>
          </w:p>
        </w:tc>
        <w:tc>
          <w:tcPr>
            <w:tcW w:w="766" w:type="dxa"/>
            <w:tcBorders>
              <w:top w:val="nil"/>
              <w:left w:val="nil"/>
              <w:bottom w:val="nil"/>
              <w:right w:val="nil"/>
            </w:tcBorders>
            <w:shd w:val="clear" w:color="auto" w:fill="auto"/>
            <w:noWrap/>
            <w:vAlign w:val="bottom"/>
            <w:hideMark/>
          </w:tcPr>
          <w:p w14:paraId="538E6310" w14:textId="77777777" w:rsidR="001E0CFF" w:rsidRPr="002B3278" w:rsidRDefault="001E0CFF" w:rsidP="001E0CFF">
            <w:pPr>
              <w:rPr>
                <w:rFonts w:eastAsia="Times New Roman" w:cstheme="minorHAnsi"/>
                <w:sz w:val="20"/>
                <w:szCs w:val="20"/>
              </w:rPr>
            </w:pPr>
          </w:p>
        </w:tc>
        <w:tc>
          <w:tcPr>
            <w:tcW w:w="736" w:type="dxa"/>
            <w:tcBorders>
              <w:top w:val="nil"/>
              <w:left w:val="nil"/>
              <w:bottom w:val="nil"/>
              <w:right w:val="nil"/>
            </w:tcBorders>
            <w:shd w:val="clear" w:color="auto" w:fill="auto"/>
            <w:noWrap/>
            <w:vAlign w:val="bottom"/>
            <w:hideMark/>
          </w:tcPr>
          <w:p w14:paraId="187B4946" w14:textId="77777777" w:rsidR="001E0CFF" w:rsidRPr="002B3278" w:rsidRDefault="001E0CFF" w:rsidP="001E0CFF">
            <w:pPr>
              <w:rPr>
                <w:rFonts w:eastAsia="Times New Roman" w:cstheme="minorHAnsi"/>
                <w:sz w:val="20"/>
                <w:szCs w:val="20"/>
              </w:rPr>
            </w:pPr>
          </w:p>
        </w:tc>
      </w:tr>
      <w:tr w:rsidR="001E0CFF" w:rsidRPr="002B3278" w14:paraId="5D1E31BB" w14:textId="77777777" w:rsidTr="002B3278">
        <w:trPr>
          <w:trHeight w:val="300"/>
        </w:trPr>
        <w:tc>
          <w:tcPr>
            <w:tcW w:w="3261" w:type="dxa"/>
            <w:tcBorders>
              <w:top w:val="nil"/>
              <w:left w:val="nil"/>
              <w:bottom w:val="nil"/>
              <w:right w:val="nil"/>
            </w:tcBorders>
            <w:shd w:val="clear" w:color="auto" w:fill="auto"/>
            <w:noWrap/>
            <w:vAlign w:val="bottom"/>
            <w:hideMark/>
          </w:tcPr>
          <w:p w14:paraId="1ADD1AE4"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LOG (ASSETS)</w:t>
            </w:r>
          </w:p>
        </w:tc>
        <w:tc>
          <w:tcPr>
            <w:tcW w:w="567" w:type="dxa"/>
            <w:tcBorders>
              <w:top w:val="nil"/>
              <w:left w:val="nil"/>
              <w:bottom w:val="nil"/>
              <w:right w:val="nil"/>
            </w:tcBorders>
            <w:shd w:val="clear" w:color="auto" w:fill="auto"/>
            <w:noWrap/>
            <w:vAlign w:val="bottom"/>
            <w:hideMark/>
          </w:tcPr>
          <w:p w14:paraId="2F5D6A4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615</w:t>
            </w:r>
          </w:p>
        </w:tc>
        <w:tc>
          <w:tcPr>
            <w:tcW w:w="821" w:type="dxa"/>
            <w:tcBorders>
              <w:top w:val="nil"/>
              <w:left w:val="nil"/>
              <w:bottom w:val="nil"/>
              <w:right w:val="nil"/>
            </w:tcBorders>
            <w:shd w:val="clear" w:color="auto" w:fill="auto"/>
            <w:noWrap/>
            <w:vAlign w:val="bottom"/>
            <w:hideMark/>
          </w:tcPr>
          <w:p w14:paraId="2DC4052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10.19</w:t>
            </w:r>
          </w:p>
        </w:tc>
        <w:tc>
          <w:tcPr>
            <w:tcW w:w="821" w:type="dxa"/>
            <w:tcBorders>
              <w:top w:val="nil"/>
              <w:left w:val="nil"/>
              <w:bottom w:val="nil"/>
              <w:right w:val="nil"/>
            </w:tcBorders>
            <w:shd w:val="clear" w:color="auto" w:fill="auto"/>
            <w:noWrap/>
            <w:vAlign w:val="bottom"/>
            <w:hideMark/>
          </w:tcPr>
          <w:p w14:paraId="5405B82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1.65</w:t>
            </w:r>
          </w:p>
        </w:tc>
        <w:tc>
          <w:tcPr>
            <w:tcW w:w="767" w:type="dxa"/>
            <w:tcBorders>
              <w:top w:val="nil"/>
              <w:left w:val="nil"/>
              <w:bottom w:val="nil"/>
              <w:right w:val="nil"/>
            </w:tcBorders>
            <w:shd w:val="clear" w:color="auto" w:fill="auto"/>
            <w:noWrap/>
            <w:vAlign w:val="bottom"/>
            <w:hideMark/>
          </w:tcPr>
          <w:p w14:paraId="7A77737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6.13</w:t>
            </w:r>
          </w:p>
        </w:tc>
        <w:tc>
          <w:tcPr>
            <w:tcW w:w="821" w:type="dxa"/>
            <w:tcBorders>
              <w:top w:val="nil"/>
              <w:left w:val="nil"/>
              <w:bottom w:val="nil"/>
              <w:right w:val="nil"/>
            </w:tcBorders>
            <w:shd w:val="clear" w:color="auto" w:fill="auto"/>
            <w:noWrap/>
            <w:vAlign w:val="bottom"/>
            <w:hideMark/>
          </w:tcPr>
          <w:p w14:paraId="53962D6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9.21</w:t>
            </w:r>
          </w:p>
        </w:tc>
        <w:tc>
          <w:tcPr>
            <w:tcW w:w="938" w:type="dxa"/>
            <w:tcBorders>
              <w:top w:val="nil"/>
              <w:left w:val="nil"/>
              <w:bottom w:val="nil"/>
              <w:right w:val="nil"/>
            </w:tcBorders>
            <w:shd w:val="clear" w:color="auto" w:fill="auto"/>
            <w:noWrap/>
            <w:vAlign w:val="bottom"/>
            <w:hideMark/>
          </w:tcPr>
          <w:p w14:paraId="435945E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10.01</w:t>
            </w:r>
          </w:p>
        </w:tc>
        <w:tc>
          <w:tcPr>
            <w:tcW w:w="766" w:type="dxa"/>
            <w:tcBorders>
              <w:top w:val="nil"/>
              <w:left w:val="nil"/>
              <w:bottom w:val="nil"/>
              <w:right w:val="nil"/>
            </w:tcBorders>
            <w:shd w:val="clear" w:color="auto" w:fill="auto"/>
            <w:noWrap/>
            <w:vAlign w:val="bottom"/>
            <w:hideMark/>
          </w:tcPr>
          <w:p w14:paraId="52DB753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10.85</w:t>
            </w:r>
          </w:p>
        </w:tc>
        <w:tc>
          <w:tcPr>
            <w:tcW w:w="736" w:type="dxa"/>
            <w:tcBorders>
              <w:top w:val="nil"/>
              <w:left w:val="nil"/>
              <w:bottom w:val="nil"/>
              <w:right w:val="nil"/>
            </w:tcBorders>
            <w:shd w:val="clear" w:color="auto" w:fill="auto"/>
            <w:noWrap/>
            <w:vAlign w:val="bottom"/>
            <w:hideMark/>
          </w:tcPr>
          <w:p w14:paraId="482C0DE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16.18</w:t>
            </w:r>
          </w:p>
        </w:tc>
      </w:tr>
      <w:tr w:rsidR="001E0CFF" w:rsidRPr="002B3278" w14:paraId="3000E934" w14:textId="77777777" w:rsidTr="002B3278">
        <w:trPr>
          <w:trHeight w:val="300"/>
        </w:trPr>
        <w:tc>
          <w:tcPr>
            <w:tcW w:w="3261" w:type="dxa"/>
            <w:tcBorders>
              <w:top w:val="nil"/>
              <w:left w:val="nil"/>
              <w:bottom w:val="nil"/>
              <w:right w:val="nil"/>
            </w:tcBorders>
            <w:shd w:val="clear" w:color="auto" w:fill="auto"/>
            <w:noWrap/>
            <w:vAlign w:val="bottom"/>
            <w:hideMark/>
          </w:tcPr>
          <w:p w14:paraId="6A66B277"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ROA</w:t>
            </w:r>
          </w:p>
        </w:tc>
        <w:tc>
          <w:tcPr>
            <w:tcW w:w="567" w:type="dxa"/>
            <w:tcBorders>
              <w:top w:val="nil"/>
              <w:left w:val="nil"/>
              <w:bottom w:val="nil"/>
              <w:right w:val="nil"/>
            </w:tcBorders>
            <w:shd w:val="clear" w:color="auto" w:fill="auto"/>
            <w:noWrap/>
            <w:vAlign w:val="bottom"/>
            <w:hideMark/>
          </w:tcPr>
          <w:p w14:paraId="00D96FC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615</w:t>
            </w:r>
          </w:p>
        </w:tc>
        <w:tc>
          <w:tcPr>
            <w:tcW w:w="821" w:type="dxa"/>
            <w:tcBorders>
              <w:top w:val="nil"/>
              <w:left w:val="nil"/>
              <w:bottom w:val="nil"/>
              <w:right w:val="nil"/>
            </w:tcBorders>
            <w:shd w:val="clear" w:color="auto" w:fill="auto"/>
            <w:noWrap/>
            <w:vAlign w:val="bottom"/>
            <w:hideMark/>
          </w:tcPr>
          <w:p w14:paraId="30A1D20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0.05</w:t>
            </w:r>
          </w:p>
        </w:tc>
        <w:tc>
          <w:tcPr>
            <w:tcW w:w="821" w:type="dxa"/>
            <w:tcBorders>
              <w:top w:val="nil"/>
              <w:left w:val="nil"/>
              <w:bottom w:val="nil"/>
              <w:right w:val="nil"/>
            </w:tcBorders>
            <w:shd w:val="clear" w:color="auto" w:fill="auto"/>
            <w:noWrap/>
            <w:vAlign w:val="bottom"/>
            <w:hideMark/>
          </w:tcPr>
          <w:p w14:paraId="4B031AE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0.09</w:t>
            </w:r>
          </w:p>
        </w:tc>
        <w:tc>
          <w:tcPr>
            <w:tcW w:w="767" w:type="dxa"/>
            <w:tcBorders>
              <w:top w:val="nil"/>
              <w:left w:val="nil"/>
              <w:bottom w:val="nil"/>
              <w:right w:val="nil"/>
            </w:tcBorders>
            <w:shd w:val="clear" w:color="auto" w:fill="auto"/>
            <w:noWrap/>
            <w:vAlign w:val="bottom"/>
            <w:hideMark/>
          </w:tcPr>
          <w:p w14:paraId="512B01E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-0.40</w:t>
            </w:r>
          </w:p>
        </w:tc>
        <w:tc>
          <w:tcPr>
            <w:tcW w:w="821" w:type="dxa"/>
            <w:tcBorders>
              <w:top w:val="nil"/>
              <w:left w:val="nil"/>
              <w:bottom w:val="nil"/>
              <w:right w:val="nil"/>
            </w:tcBorders>
            <w:shd w:val="clear" w:color="auto" w:fill="auto"/>
            <w:noWrap/>
            <w:vAlign w:val="bottom"/>
            <w:hideMark/>
          </w:tcPr>
          <w:p w14:paraId="79F4696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0.02</w:t>
            </w:r>
          </w:p>
        </w:tc>
        <w:tc>
          <w:tcPr>
            <w:tcW w:w="938" w:type="dxa"/>
            <w:tcBorders>
              <w:top w:val="nil"/>
              <w:left w:val="nil"/>
              <w:bottom w:val="nil"/>
              <w:right w:val="nil"/>
            </w:tcBorders>
            <w:shd w:val="clear" w:color="auto" w:fill="auto"/>
            <w:noWrap/>
            <w:vAlign w:val="bottom"/>
            <w:hideMark/>
          </w:tcPr>
          <w:p w14:paraId="307BC17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0.05</w:t>
            </w:r>
          </w:p>
        </w:tc>
        <w:tc>
          <w:tcPr>
            <w:tcW w:w="766" w:type="dxa"/>
            <w:tcBorders>
              <w:top w:val="nil"/>
              <w:left w:val="nil"/>
              <w:bottom w:val="nil"/>
              <w:right w:val="nil"/>
            </w:tcBorders>
            <w:shd w:val="clear" w:color="auto" w:fill="auto"/>
            <w:noWrap/>
            <w:vAlign w:val="bottom"/>
            <w:hideMark/>
          </w:tcPr>
          <w:p w14:paraId="16BA15F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0.10</w:t>
            </w:r>
          </w:p>
        </w:tc>
        <w:tc>
          <w:tcPr>
            <w:tcW w:w="736" w:type="dxa"/>
            <w:tcBorders>
              <w:top w:val="nil"/>
              <w:left w:val="nil"/>
              <w:bottom w:val="nil"/>
              <w:right w:val="nil"/>
            </w:tcBorders>
            <w:shd w:val="clear" w:color="auto" w:fill="auto"/>
            <w:noWrap/>
            <w:vAlign w:val="bottom"/>
            <w:hideMark/>
          </w:tcPr>
          <w:p w14:paraId="7BE8E0B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0.39</w:t>
            </w:r>
          </w:p>
        </w:tc>
      </w:tr>
      <w:tr w:rsidR="001E0CFF" w:rsidRPr="002B3278" w14:paraId="227A9972" w14:textId="77777777" w:rsidTr="002B3278">
        <w:trPr>
          <w:trHeight w:val="300"/>
        </w:trPr>
        <w:tc>
          <w:tcPr>
            <w:tcW w:w="3261" w:type="dxa"/>
            <w:tcBorders>
              <w:top w:val="nil"/>
              <w:left w:val="nil"/>
              <w:bottom w:val="nil"/>
              <w:right w:val="nil"/>
            </w:tcBorders>
            <w:shd w:val="clear" w:color="auto" w:fill="auto"/>
            <w:noWrap/>
            <w:vAlign w:val="bottom"/>
            <w:hideMark/>
          </w:tcPr>
          <w:p w14:paraId="2DFF2FF5" w14:textId="5A98B165" w:rsidR="001E0CFF" w:rsidRPr="002B3278" w:rsidRDefault="002B3278" w:rsidP="001E0CFF">
            <w:pPr>
              <w:rPr>
                <w:rFonts w:eastAsia="Times New Roman" w:cstheme="minorHAnsi"/>
                <w:i/>
                <w:iCs/>
                <w:color w:val="000000"/>
                <w:sz w:val="20"/>
                <w:szCs w:val="20"/>
              </w:rPr>
            </w:pPr>
            <w:r w:rsidRPr="002B3278">
              <w:rPr>
                <w:rFonts w:eastAsia="Times New Roman" w:cstheme="minorHAnsi"/>
                <w:i/>
                <w:iCs/>
                <w:color w:val="000000"/>
                <w:sz w:val="20"/>
                <w:szCs w:val="20"/>
              </w:rPr>
              <w:t>MB</w:t>
            </w:r>
          </w:p>
        </w:tc>
        <w:tc>
          <w:tcPr>
            <w:tcW w:w="567" w:type="dxa"/>
            <w:tcBorders>
              <w:top w:val="nil"/>
              <w:left w:val="nil"/>
              <w:bottom w:val="nil"/>
              <w:right w:val="nil"/>
            </w:tcBorders>
            <w:shd w:val="clear" w:color="auto" w:fill="auto"/>
            <w:noWrap/>
            <w:vAlign w:val="bottom"/>
            <w:hideMark/>
          </w:tcPr>
          <w:p w14:paraId="31DF891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581</w:t>
            </w:r>
          </w:p>
        </w:tc>
        <w:tc>
          <w:tcPr>
            <w:tcW w:w="821" w:type="dxa"/>
            <w:tcBorders>
              <w:top w:val="nil"/>
              <w:left w:val="nil"/>
              <w:bottom w:val="nil"/>
              <w:right w:val="nil"/>
            </w:tcBorders>
            <w:shd w:val="clear" w:color="auto" w:fill="auto"/>
            <w:noWrap/>
            <w:vAlign w:val="bottom"/>
            <w:hideMark/>
          </w:tcPr>
          <w:p w14:paraId="679B354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4.56</w:t>
            </w:r>
          </w:p>
        </w:tc>
        <w:tc>
          <w:tcPr>
            <w:tcW w:w="821" w:type="dxa"/>
            <w:tcBorders>
              <w:top w:val="nil"/>
              <w:left w:val="nil"/>
              <w:bottom w:val="nil"/>
              <w:right w:val="nil"/>
            </w:tcBorders>
            <w:shd w:val="clear" w:color="auto" w:fill="auto"/>
            <w:noWrap/>
            <w:vAlign w:val="bottom"/>
            <w:hideMark/>
          </w:tcPr>
          <w:p w14:paraId="4858FE8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4.54</w:t>
            </w:r>
          </w:p>
        </w:tc>
        <w:tc>
          <w:tcPr>
            <w:tcW w:w="767" w:type="dxa"/>
            <w:tcBorders>
              <w:top w:val="nil"/>
              <w:left w:val="nil"/>
              <w:bottom w:val="nil"/>
              <w:right w:val="nil"/>
            </w:tcBorders>
            <w:shd w:val="clear" w:color="auto" w:fill="auto"/>
            <w:noWrap/>
            <w:vAlign w:val="bottom"/>
            <w:hideMark/>
          </w:tcPr>
          <w:p w14:paraId="1928566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0.34</w:t>
            </w:r>
          </w:p>
        </w:tc>
        <w:tc>
          <w:tcPr>
            <w:tcW w:w="821" w:type="dxa"/>
            <w:tcBorders>
              <w:top w:val="nil"/>
              <w:left w:val="nil"/>
              <w:bottom w:val="nil"/>
              <w:right w:val="nil"/>
            </w:tcBorders>
            <w:shd w:val="clear" w:color="auto" w:fill="auto"/>
            <w:noWrap/>
            <w:vAlign w:val="bottom"/>
            <w:hideMark/>
          </w:tcPr>
          <w:p w14:paraId="3B88A35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1.88</w:t>
            </w:r>
          </w:p>
        </w:tc>
        <w:tc>
          <w:tcPr>
            <w:tcW w:w="938" w:type="dxa"/>
            <w:tcBorders>
              <w:top w:val="nil"/>
              <w:left w:val="nil"/>
              <w:bottom w:val="nil"/>
              <w:right w:val="nil"/>
            </w:tcBorders>
            <w:shd w:val="clear" w:color="auto" w:fill="auto"/>
            <w:noWrap/>
            <w:vAlign w:val="bottom"/>
            <w:hideMark/>
          </w:tcPr>
          <w:p w14:paraId="03EDF66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3.58</w:t>
            </w:r>
          </w:p>
        </w:tc>
        <w:tc>
          <w:tcPr>
            <w:tcW w:w="766" w:type="dxa"/>
            <w:tcBorders>
              <w:top w:val="nil"/>
              <w:left w:val="nil"/>
              <w:bottom w:val="nil"/>
              <w:right w:val="nil"/>
            </w:tcBorders>
            <w:shd w:val="clear" w:color="auto" w:fill="auto"/>
            <w:noWrap/>
            <w:vAlign w:val="bottom"/>
            <w:hideMark/>
          </w:tcPr>
          <w:p w14:paraId="5B11913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5.82</w:t>
            </w:r>
          </w:p>
        </w:tc>
        <w:tc>
          <w:tcPr>
            <w:tcW w:w="736" w:type="dxa"/>
            <w:tcBorders>
              <w:top w:val="nil"/>
              <w:left w:val="nil"/>
              <w:bottom w:val="nil"/>
              <w:right w:val="nil"/>
            </w:tcBorders>
            <w:shd w:val="clear" w:color="auto" w:fill="auto"/>
            <w:noWrap/>
            <w:vAlign w:val="bottom"/>
            <w:hideMark/>
          </w:tcPr>
          <w:p w14:paraId="4BFC209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32.67</w:t>
            </w:r>
          </w:p>
        </w:tc>
      </w:tr>
      <w:tr w:rsidR="001E0CFF" w:rsidRPr="002B3278" w14:paraId="3C6FDE24" w14:textId="77777777" w:rsidTr="002B3278">
        <w:trPr>
          <w:trHeight w:val="300"/>
        </w:trPr>
        <w:tc>
          <w:tcPr>
            <w:tcW w:w="3261" w:type="dxa"/>
            <w:tcBorders>
              <w:top w:val="nil"/>
              <w:left w:val="nil"/>
              <w:bottom w:val="nil"/>
              <w:right w:val="nil"/>
            </w:tcBorders>
            <w:shd w:val="clear" w:color="auto" w:fill="auto"/>
            <w:noWrap/>
            <w:vAlign w:val="bottom"/>
            <w:hideMark/>
          </w:tcPr>
          <w:p w14:paraId="545D6F6C"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SIZE</w:t>
            </w:r>
          </w:p>
        </w:tc>
        <w:tc>
          <w:tcPr>
            <w:tcW w:w="567" w:type="dxa"/>
            <w:tcBorders>
              <w:top w:val="nil"/>
              <w:left w:val="nil"/>
              <w:bottom w:val="nil"/>
              <w:right w:val="nil"/>
            </w:tcBorders>
            <w:shd w:val="clear" w:color="auto" w:fill="auto"/>
            <w:noWrap/>
            <w:vAlign w:val="bottom"/>
            <w:hideMark/>
          </w:tcPr>
          <w:p w14:paraId="1F88673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586</w:t>
            </w:r>
          </w:p>
        </w:tc>
        <w:tc>
          <w:tcPr>
            <w:tcW w:w="821" w:type="dxa"/>
            <w:tcBorders>
              <w:top w:val="nil"/>
              <w:left w:val="nil"/>
              <w:bottom w:val="nil"/>
              <w:right w:val="nil"/>
            </w:tcBorders>
            <w:shd w:val="clear" w:color="auto" w:fill="auto"/>
            <w:noWrap/>
            <w:vAlign w:val="bottom"/>
            <w:hideMark/>
          </w:tcPr>
          <w:p w14:paraId="4EED634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10.60</w:t>
            </w:r>
          </w:p>
        </w:tc>
        <w:tc>
          <w:tcPr>
            <w:tcW w:w="821" w:type="dxa"/>
            <w:tcBorders>
              <w:top w:val="nil"/>
              <w:left w:val="nil"/>
              <w:bottom w:val="nil"/>
              <w:right w:val="nil"/>
            </w:tcBorders>
            <w:shd w:val="clear" w:color="auto" w:fill="auto"/>
            <w:noWrap/>
            <w:vAlign w:val="bottom"/>
            <w:hideMark/>
          </w:tcPr>
          <w:p w14:paraId="0407808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1.53</w:t>
            </w:r>
          </w:p>
        </w:tc>
        <w:tc>
          <w:tcPr>
            <w:tcW w:w="767" w:type="dxa"/>
            <w:tcBorders>
              <w:top w:val="nil"/>
              <w:left w:val="nil"/>
              <w:bottom w:val="nil"/>
              <w:right w:val="nil"/>
            </w:tcBorders>
            <w:shd w:val="clear" w:color="auto" w:fill="auto"/>
            <w:noWrap/>
            <w:vAlign w:val="bottom"/>
            <w:hideMark/>
          </w:tcPr>
          <w:p w14:paraId="2ED98E2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5.22</w:t>
            </w:r>
          </w:p>
        </w:tc>
        <w:tc>
          <w:tcPr>
            <w:tcW w:w="821" w:type="dxa"/>
            <w:tcBorders>
              <w:top w:val="nil"/>
              <w:left w:val="nil"/>
              <w:bottom w:val="nil"/>
              <w:right w:val="nil"/>
            </w:tcBorders>
            <w:shd w:val="clear" w:color="auto" w:fill="auto"/>
            <w:noWrap/>
            <w:vAlign w:val="bottom"/>
            <w:hideMark/>
          </w:tcPr>
          <w:p w14:paraId="6B30793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9.71</w:t>
            </w:r>
          </w:p>
        </w:tc>
        <w:tc>
          <w:tcPr>
            <w:tcW w:w="938" w:type="dxa"/>
            <w:tcBorders>
              <w:top w:val="nil"/>
              <w:left w:val="nil"/>
              <w:bottom w:val="nil"/>
              <w:right w:val="nil"/>
            </w:tcBorders>
            <w:shd w:val="clear" w:color="auto" w:fill="auto"/>
            <w:noWrap/>
            <w:vAlign w:val="bottom"/>
            <w:hideMark/>
          </w:tcPr>
          <w:p w14:paraId="3DA617A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10.61</w:t>
            </w:r>
          </w:p>
        </w:tc>
        <w:tc>
          <w:tcPr>
            <w:tcW w:w="766" w:type="dxa"/>
            <w:tcBorders>
              <w:top w:val="nil"/>
              <w:left w:val="nil"/>
              <w:bottom w:val="nil"/>
              <w:right w:val="nil"/>
            </w:tcBorders>
            <w:shd w:val="clear" w:color="auto" w:fill="auto"/>
            <w:noWrap/>
            <w:vAlign w:val="bottom"/>
            <w:hideMark/>
          </w:tcPr>
          <w:p w14:paraId="27E64D3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11.43</w:t>
            </w:r>
          </w:p>
        </w:tc>
        <w:tc>
          <w:tcPr>
            <w:tcW w:w="736" w:type="dxa"/>
            <w:tcBorders>
              <w:top w:val="nil"/>
              <w:left w:val="nil"/>
              <w:bottom w:val="nil"/>
              <w:right w:val="nil"/>
            </w:tcBorders>
            <w:shd w:val="clear" w:color="auto" w:fill="auto"/>
            <w:noWrap/>
            <w:vAlign w:val="bottom"/>
            <w:hideMark/>
          </w:tcPr>
          <w:p w14:paraId="492C1D61"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15.52</w:t>
            </w:r>
          </w:p>
        </w:tc>
      </w:tr>
      <w:tr w:rsidR="001E0CFF" w:rsidRPr="002B3278" w14:paraId="637FC019" w14:textId="77777777" w:rsidTr="002B3278">
        <w:trPr>
          <w:trHeight w:val="300"/>
        </w:trPr>
        <w:tc>
          <w:tcPr>
            <w:tcW w:w="3261" w:type="dxa"/>
            <w:tcBorders>
              <w:top w:val="nil"/>
              <w:left w:val="nil"/>
              <w:bottom w:val="nil"/>
              <w:right w:val="nil"/>
            </w:tcBorders>
            <w:shd w:val="clear" w:color="auto" w:fill="auto"/>
            <w:noWrap/>
            <w:vAlign w:val="bottom"/>
            <w:hideMark/>
          </w:tcPr>
          <w:p w14:paraId="2AA9E4FE"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INDEPENDENT DIRECTORS COUNT</w:t>
            </w:r>
          </w:p>
        </w:tc>
        <w:tc>
          <w:tcPr>
            <w:tcW w:w="567" w:type="dxa"/>
            <w:tcBorders>
              <w:top w:val="nil"/>
              <w:left w:val="nil"/>
              <w:bottom w:val="nil"/>
              <w:right w:val="nil"/>
            </w:tcBorders>
            <w:shd w:val="clear" w:color="auto" w:fill="auto"/>
            <w:noWrap/>
            <w:vAlign w:val="bottom"/>
            <w:hideMark/>
          </w:tcPr>
          <w:p w14:paraId="52C2BCE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649</w:t>
            </w:r>
          </w:p>
        </w:tc>
        <w:tc>
          <w:tcPr>
            <w:tcW w:w="821" w:type="dxa"/>
            <w:tcBorders>
              <w:top w:val="nil"/>
              <w:left w:val="nil"/>
              <w:bottom w:val="nil"/>
              <w:right w:val="nil"/>
            </w:tcBorders>
            <w:shd w:val="clear" w:color="auto" w:fill="auto"/>
            <w:noWrap/>
            <w:vAlign w:val="bottom"/>
            <w:hideMark/>
          </w:tcPr>
          <w:p w14:paraId="13D6324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4.97</w:t>
            </w:r>
          </w:p>
        </w:tc>
        <w:tc>
          <w:tcPr>
            <w:tcW w:w="821" w:type="dxa"/>
            <w:tcBorders>
              <w:top w:val="nil"/>
              <w:left w:val="nil"/>
              <w:bottom w:val="nil"/>
              <w:right w:val="nil"/>
            </w:tcBorders>
            <w:shd w:val="clear" w:color="auto" w:fill="auto"/>
            <w:noWrap/>
            <w:vAlign w:val="bottom"/>
            <w:hideMark/>
          </w:tcPr>
          <w:p w14:paraId="1B539C6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1.98</w:t>
            </w:r>
          </w:p>
        </w:tc>
        <w:tc>
          <w:tcPr>
            <w:tcW w:w="767" w:type="dxa"/>
            <w:tcBorders>
              <w:top w:val="nil"/>
              <w:left w:val="nil"/>
              <w:bottom w:val="nil"/>
              <w:right w:val="nil"/>
            </w:tcBorders>
            <w:shd w:val="clear" w:color="auto" w:fill="auto"/>
            <w:noWrap/>
            <w:vAlign w:val="bottom"/>
            <w:hideMark/>
          </w:tcPr>
          <w:p w14:paraId="71A396E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2BE1B97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4.00</w:t>
            </w:r>
          </w:p>
        </w:tc>
        <w:tc>
          <w:tcPr>
            <w:tcW w:w="938" w:type="dxa"/>
            <w:tcBorders>
              <w:top w:val="nil"/>
              <w:left w:val="nil"/>
              <w:bottom w:val="nil"/>
              <w:right w:val="nil"/>
            </w:tcBorders>
            <w:shd w:val="clear" w:color="auto" w:fill="auto"/>
            <w:noWrap/>
            <w:vAlign w:val="bottom"/>
            <w:hideMark/>
          </w:tcPr>
          <w:p w14:paraId="0D95136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5.00</w:t>
            </w:r>
          </w:p>
        </w:tc>
        <w:tc>
          <w:tcPr>
            <w:tcW w:w="766" w:type="dxa"/>
            <w:tcBorders>
              <w:top w:val="nil"/>
              <w:left w:val="nil"/>
              <w:bottom w:val="nil"/>
              <w:right w:val="nil"/>
            </w:tcBorders>
            <w:shd w:val="clear" w:color="auto" w:fill="auto"/>
            <w:noWrap/>
            <w:vAlign w:val="bottom"/>
            <w:hideMark/>
          </w:tcPr>
          <w:p w14:paraId="2B17067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6.00</w:t>
            </w:r>
          </w:p>
        </w:tc>
        <w:tc>
          <w:tcPr>
            <w:tcW w:w="736" w:type="dxa"/>
            <w:tcBorders>
              <w:top w:val="nil"/>
              <w:left w:val="nil"/>
              <w:bottom w:val="nil"/>
              <w:right w:val="nil"/>
            </w:tcBorders>
            <w:shd w:val="clear" w:color="auto" w:fill="auto"/>
            <w:noWrap/>
            <w:vAlign w:val="bottom"/>
            <w:hideMark/>
          </w:tcPr>
          <w:p w14:paraId="2D6053E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13.00</w:t>
            </w:r>
          </w:p>
        </w:tc>
      </w:tr>
      <w:tr w:rsidR="001E0CFF" w:rsidRPr="002B3278" w14:paraId="651F4623" w14:textId="77777777" w:rsidTr="002B3278">
        <w:trPr>
          <w:trHeight w:val="300"/>
        </w:trPr>
        <w:tc>
          <w:tcPr>
            <w:tcW w:w="3261" w:type="dxa"/>
            <w:tcBorders>
              <w:top w:val="nil"/>
              <w:left w:val="nil"/>
              <w:bottom w:val="nil"/>
              <w:right w:val="nil"/>
            </w:tcBorders>
            <w:shd w:val="clear" w:color="auto" w:fill="auto"/>
            <w:noWrap/>
            <w:vAlign w:val="bottom"/>
            <w:hideMark/>
          </w:tcPr>
          <w:p w14:paraId="36F97099"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DIRECTORS COUNT</w:t>
            </w:r>
          </w:p>
        </w:tc>
        <w:tc>
          <w:tcPr>
            <w:tcW w:w="567" w:type="dxa"/>
            <w:tcBorders>
              <w:top w:val="nil"/>
              <w:left w:val="nil"/>
              <w:bottom w:val="nil"/>
              <w:right w:val="nil"/>
            </w:tcBorders>
            <w:shd w:val="clear" w:color="auto" w:fill="auto"/>
            <w:noWrap/>
            <w:vAlign w:val="bottom"/>
            <w:hideMark/>
          </w:tcPr>
          <w:p w14:paraId="1A617E8B"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649</w:t>
            </w:r>
          </w:p>
        </w:tc>
        <w:tc>
          <w:tcPr>
            <w:tcW w:w="821" w:type="dxa"/>
            <w:tcBorders>
              <w:top w:val="nil"/>
              <w:left w:val="nil"/>
              <w:bottom w:val="nil"/>
              <w:right w:val="nil"/>
            </w:tcBorders>
            <w:shd w:val="clear" w:color="auto" w:fill="auto"/>
            <w:noWrap/>
            <w:vAlign w:val="bottom"/>
            <w:hideMark/>
          </w:tcPr>
          <w:p w14:paraId="29404F9F"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12.83</w:t>
            </w:r>
          </w:p>
        </w:tc>
        <w:tc>
          <w:tcPr>
            <w:tcW w:w="821" w:type="dxa"/>
            <w:tcBorders>
              <w:top w:val="nil"/>
              <w:left w:val="nil"/>
              <w:bottom w:val="nil"/>
              <w:right w:val="nil"/>
            </w:tcBorders>
            <w:shd w:val="clear" w:color="auto" w:fill="auto"/>
            <w:noWrap/>
            <w:vAlign w:val="bottom"/>
            <w:hideMark/>
          </w:tcPr>
          <w:p w14:paraId="233B584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7.89</w:t>
            </w:r>
          </w:p>
        </w:tc>
        <w:tc>
          <w:tcPr>
            <w:tcW w:w="767" w:type="dxa"/>
            <w:tcBorders>
              <w:top w:val="nil"/>
              <w:left w:val="nil"/>
              <w:bottom w:val="nil"/>
              <w:right w:val="nil"/>
            </w:tcBorders>
            <w:shd w:val="clear" w:color="auto" w:fill="auto"/>
            <w:noWrap/>
            <w:vAlign w:val="bottom"/>
            <w:hideMark/>
          </w:tcPr>
          <w:p w14:paraId="36B6B3F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4.00</w:t>
            </w:r>
          </w:p>
        </w:tc>
        <w:tc>
          <w:tcPr>
            <w:tcW w:w="821" w:type="dxa"/>
            <w:tcBorders>
              <w:top w:val="nil"/>
              <w:left w:val="nil"/>
              <w:bottom w:val="nil"/>
              <w:right w:val="nil"/>
            </w:tcBorders>
            <w:shd w:val="clear" w:color="auto" w:fill="auto"/>
            <w:noWrap/>
            <w:vAlign w:val="bottom"/>
            <w:hideMark/>
          </w:tcPr>
          <w:p w14:paraId="1A232DE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10.00</w:t>
            </w:r>
          </w:p>
        </w:tc>
        <w:tc>
          <w:tcPr>
            <w:tcW w:w="938" w:type="dxa"/>
            <w:tcBorders>
              <w:top w:val="nil"/>
              <w:left w:val="nil"/>
              <w:bottom w:val="nil"/>
              <w:right w:val="nil"/>
            </w:tcBorders>
            <w:shd w:val="clear" w:color="auto" w:fill="auto"/>
            <w:noWrap/>
            <w:vAlign w:val="bottom"/>
            <w:hideMark/>
          </w:tcPr>
          <w:p w14:paraId="52A5A81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12.00</w:t>
            </w:r>
          </w:p>
        </w:tc>
        <w:tc>
          <w:tcPr>
            <w:tcW w:w="766" w:type="dxa"/>
            <w:tcBorders>
              <w:top w:val="nil"/>
              <w:left w:val="nil"/>
              <w:bottom w:val="nil"/>
              <w:right w:val="nil"/>
            </w:tcBorders>
            <w:shd w:val="clear" w:color="auto" w:fill="auto"/>
            <w:noWrap/>
            <w:vAlign w:val="bottom"/>
            <w:hideMark/>
          </w:tcPr>
          <w:p w14:paraId="382EC07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15.00</w:t>
            </w:r>
          </w:p>
        </w:tc>
        <w:tc>
          <w:tcPr>
            <w:tcW w:w="736" w:type="dxa"/>
            <w:tcBorders>
              <w:top w:val="nil"/>
              <w:left w:val="nil"/>
              <w:bottom w:val="nil"/>
              <w:right w:val="nil"/>
            </w:tcBorders>
            <w:shd w:val="clear" w:color="auto" w:fill="auto"/>
            <w:noWrap/>
            <w:vAlign w:val="bottom"/>
            <w:hideMark/>
          </w:tcPr>
          <w:p w14:paraId="749A78F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117.00</w:t>
            </w:r>
          </w:p>
        </w:tc>
      </w:tr>
      <w:tr w:rsidR="001E0CFF" w:rsidRPr="002B3278" w14:paraId="4FB9B75F" w14:textId="77777777" w:rsidTr="002B3278">
        <w:trPr>
          <w:trHeight w:val="300"/>
        </w:trPr>
        <w:tc>
          <w:tcPr>
            <w:tcW w:w="3261" w:type="dxa"/>
            <w:tcBorders>
              <w:top w:val="nil"/>
              <w:left w:val="nil"/>
              <w:bottom w:val="nil"/>
              <w:right w:val="nil"/>
            </w:tcBorders>
            <w:shd w:val="clear" w:color="auto" w:fill="auto"/>
            <w:noWrap/>
            <w:vAlign w:val="bottom"/>
            <w:hideMark/>
          </w:tcPr>
          <w:p w14:paraId="7BD2A5B9"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lastRenderedPageBreak/>
              <w:t>PROMOTERS HOLDING</w:t>
            </w:r>
          </w:p>
        </w:tc>
        <w:tc>
          <w:tcPr>
            <w:tcW w:w="567" w:type="dxa"/>
            <w:tcBorders>
              <w:top w:val="nil"/>
              <w:left w:val="nil"/>
              <w:bottom w:val="nil"/>
              <w:right w:val="nil"/>
            </w:tcBorders>
            <w:shd w:val="clear" w:color="auto" w:fill="auto"/>
            <w:noWrap/>
            <w:vAlign w:val="bottom"/>
            <w:hideMark/>
          </w:tcPr>
          <w:p w14:paraId="5B2C917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628</w:t>
            </w:r>
          </w:p>
        </w:tc>
        <w:tc>
          <w:tcPr>
            <w:tcW w:w="821" w:type="dxa"/>
            <w:tcBorders>
              <w:top w:val="nil"/>
              <w:left w:val="nil"/>
              <w:bottom w:val="nil"/>
              <w:right w:val="nil"/>
            </w:tcBorders>
            <w:shd w:val="clear" w:color="auto" w:fill="auto"/>
            <w:noWrap/>
            <w:vAlign w:val="bottom"/>
            <w:hideMark/>
          </w:tcPr>
          <w:p w14:paraId="57D51B0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57.11</w:t>
            </w:r>
          </w:p>
        </w:tc>
        <w:tc>
          <w:tcPr>
            <w:tcW w:w="821" w:type="dxa"/>
            <w:tcBorders>
              <w:top w:val="nil"/>
              <w:left w:val="nil"/>
              <w:bottom w:val="nil"/>
              <w:right w:val="nil"/>
            </w:tcBorders>
            <w:shd w:val="clear" w:color="auto" w:fill="auto"/>
            <w:noWrap/>
            <w:vAlign w:val="bottom"/>
            <w:hideMark/>
          </w:tcPr>
          <w:p w14:paraId="257AE07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14.98</w:t>
            </w:r>
          </w:p>
        </w:tc>
        <w:tc>
          <w:tcPr>
            <w:tcW w:w="767" w:type="dxa"/>
            <w:tcBorders>
              <w:top w:val="nil"/>
              <w:left w:val="nil"/>
              <w:bottom w:val="nil"/>
              <w:right w:val="nil"/>
            </w:tcBorders>
            <w:shd w:val="clear" w:color="auto" w:fill="auto"/>
            <w:noWrap/>
            <w:vAlign w:val="bottom"/>
            <w:hideMark/>
          </w:tcPr>
          <w:p w14:paraId="760217E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495C27F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49.98</w:t>
            </w:r>
          </w:p>
        </w:tc>
        <w:tc>
          <w:tcPr>
            <w:tcW w:w="938" w:type="dxa"/>
            <w:tcBorders>
              <w:top w:val="nil"/>
              <w:left w:val="nil"/>
              <w:bottom w:val="nil"/>
              <w:right w:val="nil"/>
            </w:tcBorders>
            <w:shd w:val="clear" w:color="auto" w:fill="auto"/>
            <w:noWrap/>
            <w:vAlign w:val="bottom"/>
            <w:hideMark/>
          </w:tcPr>
          <w:p w14:paraId="6F757B1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60.42</w:t>
            </w:r>
          </w:p>
        </w:tc>
        <w:tc>
          <w:tcPr>
            <w:tcW w:w="766" w:type="dxa"/>
            <w:tcBorders>
              <w:top w:val="nil"/>
              <w:left w:val="nil"/>
              <w:bottom w:val="nil"/>
              <w:right w:val="nil"/>
            </w:tcBorders>
            <w:shd w:val="clear" w:color="auto" w:fill="auto"/>
            <w:noWrap/>
            <w:vAlign w:val="bottom"/>
            <w:hideMark/>
          </w:tcPr>
          <w:p w14:paraId="09008EE2"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68.58</w:t>
            </w:r>
          </w:p>
        </w:tc>
        <w:tc>
          <w:tcPr>
            <w:tcW w:w="736" w:type="dxa"/>
            <w:tcBorders>
              <w:top w:val="nil"/>
              <w:left w:val="nil"/>
              <w:bottom w:val="nil"/>
              <w:right w:val="nil"/>
            </w:tcBorders>
            <w:shd w:val="clear" w:color="auto" w:fill="auto"/>
            <w:noWrap/>
            <w:vAlign w:val="bottom"/>
            <w:hideMark/>
          </w:tcPr>
          <w:p w14:paraId="7576201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88.58</w:t>
            </w:r>
          </w:p>
        </w:tc>
      </w:tr>
      <w:tr w:rsidR="001E0CFF" w:rsidRPr="002B3278" w14:paraId="5A181CF7" w14:textId="77777777" w:rsidTr="002B3278">
        <w:trPr>
          <w:trHeight w:val="300"/>
        </w:trPr>
        <w:tc>
          <w:tcPr>
            <w:tcW w:w="3261" w:type="dxa"/>
            <w:tcBorders>
              <w:top w:val="nil"/>
              <w:left w:val="nil"/>
              <w:bottom w:val="nil"/>
              <w:right w:val="nil"/>
            </w:tcBorders>
            <w:shd w:val="clear" w:color="auto" w:fill="auto"/>
            <w:noWrap/>
            <w:vAlign w:val="bottom"/>
            <w:hideMark/>
          </w:tcPr>
          <w:p w14:paraId="22BC872A"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 INDEPENDENT DIRECTORS</w:t>
            </w:r>
          </w:p>
        </w:tc>
        <w:tc>
          <w:tcPr>
            <w:tcW w:w="567" w:type="dxa"/>
            <w:tcBorders>
              <w:top w:val="nil"/>
              <w:left w:val="nil"/>
              <w:bottom w:val="nil"/>
              <w:right w:val="nil"/>
            </w:tcBorders>
            <w:shd w:val="clear" w:color="auto" w:fill="auto"/>
            <w:noWrap/>
            <w:vAlign w:val="bottom"/>
            <w:hideMark/>
          </w:tcPr>
          <w:p w14:paraId="359A0CF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649</w:t>
            </w:r>
          </w:p>
        </w:tc>
        <w:tc>
          <w:tcPr>
            <w:tcW w:w="821" w:type="dxa"/>
            <w:tcBorders>
              <w:top w:val="nil"/>
              <w:left w:val="nil"/>
              <w:bottom w:val="nil"/>
              <w:right w:val="nil"/>
            </w:tcBorders>
            <w:shd w:val="clear" w:color="auto" w:fill="auto"/>
            <w:noWrap/>
            <w:vAlign w:val="bottom"/>
            <w:hideMark/>
          </w:tcPr>
          <w:p w14:paraId="71EFDD6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0.40</w:t>
            </w:r>
          </w:p>
        </w:tc>
        <w:tc>
          <w:tcPr>
            <w:tcW w:w="821" w:type="dxa"/>
            <w:tcBorders>
              <w:top w:val="nil"/>
              <w:left w:val="nil"/>
              <w:bottom w:val="nil"/>
              <w:right w:val="nil"/>
            </w:tcBorders>
            <w:shd w:val="clear" w:color="auto" w:fill="auto"/>
            <w:noWrap/>
            <w:vAlign w:val="bottom"/>
            <w:hideMark/>
          </w:tcPr>
          <w:p w14:paraId="1A0DC6C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0.12</w:t>
            </w:r>
          </w:p>
        </w:tc>
        <w:tc>
          <w:tcPr>
            <w:tcW w:w="767" w:type="dxa"/>
            <w:tcBorders>
              <w:top w:val="nil"/>
              <w:left w:val="nil"/>
              <w:bottom w:val="nil"/>
              <w:right w:val="nil"/>
            </w:tcBorders>
            <w:shd w:val="clear" w:color="auto" w:fill="auto"/>
            <w:noWrap/>
            <w:vAlign w:val="bottom"/>
            <w:hideMark/>
          </w:tcPr>
          <w:p w14:paraId="1D8FC4F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0.00</w:t>
            </w:r>
          </w:p>
        </w:tc>
        <w:tc>
          <w:tcPr>
            <w:tcW w:w="821" w:type="dxa"/>
            <w:tcBorders>
              <w:top w:val="nil"/>
              <w:left w:val="nil"/>
              <w:bottom w:val="nil"/>
              <w:right w:val="nil"/>
            </w:tcBorders>
            <w:shd w:val="clear" w:color="auto" w:fill="auto"/>
            <w:noWrap/>
            <w:vAlign w:val="bottom"/>
            <w:hideMark/>
          </w:tcPr>
          <w:p w14:paraId="2F85120D"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0.33</w:t>
            </w:r>
          </w:p>
        </w:tc>
        <w:tc>
          <w:tcPr>
            <w:tcW w:w="938" w:type="dxa"/>
            <w:tcBorders>
              <w:top w:val="nil"/>
              <w:left w:val="nil"/>
              <w:bottom w:val="nil"/>
              <w:right w:val="nil"/>
            </w:tcBorders>
            <w:shd w:val="clear" w:color="auto" w:fill="auto"/>
            <w:noWrap/>
            <w:vAlign w:val="bottom"/>
            <w:hideMark/>
          </w:tcPr>
          <w:p w14:paraId="1F12450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0.40</w:t>
            </w:r>
          </w:p>
        </w:tc>
        <w:tc>
          <w:tcPr>
            <w:tcW w:w="766" w:type="dxa"/>
            <w:tcBorders>
              <w:top w:val="nil"/>
              <w:left w:val="nil"/>
              <w:bottom w:val="nil"/>
              <w:right w:val="nil"/>
            </w:tcBorders>
            <w:shd w:val="clear" w:color="auto" w:fill="auto"/>
            <w:noWrap/>
            <w:vAlign w:val="bottom"/>
            <w:hideMark/>
          </w:tcPr>
          <w:p w14:paraId="1AEF0240"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0.47</w:t>
            </w:r>
          </w:p>
        </w:tc>
        <w:tc>
          <w:tcPr>
            <w:tcW w:w="736" w:type="dxa"/>
            <w:tcBorders>
              <w:top w:val="nil"/>
              <w:left w:val="nil"/>
              <w:bottom w:val="nil"/>
              <w:right w:val="nil"/>
            </w:tcBorders>
            <w:shd w:val="clear" w:color="auto" w:fill="auto"/>
            <w:noWrap/>
            <w:vAlign w:val="bottom"/>
            <w:hideMark/>
          </w:tcPr>
          <w:p w14:paraId="5E36098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0.75</w:t>
            </w:r>
          </w:p>
        </w:tc>
      </w:tr>
      <w:tr w:rsidR="001E0CFF" w:rsidRPr="002B3278" w14:paraId="5C10048A" w14:textId="77777777" w:rsidTr="002B3278">
        <w:trPr>
          <w:trHeight w:val="300"/>
        </w:trPr>
        <w:tc>
          <w:tcPr>
            <w:tcW w:w="3261" w:type="dxa"/>
            <w:tcBorders>
              <w:top w:val="nil"/>
              <w:left w:val="nil"/>
              <w:bottom w:val="nil"/>
              <w:right w:val="nil"/>
            </w:tcBorders>
            <w:shd w:val="clear" w:color="auto" w:fill="auto"/>
            <w:noWrap/>
            <w:vAlign w:val="bottom"/>
            <w:hideMark/>
          </w:tcPr>
          <w:p w14:paraId="6A1C0DEA"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ANNUAL RETURNS</w:t>
            </w:r>
          </w:p>
        </w:tc>
        <w:tc>
          <w:tcPr>
            <w:tcW w:w="567" w:type="dxa"/>
            <w:tcBorders>
              <w:top w:val="nil"/>
              <w:left w:val="nil"/>
              <w:bottom w:val="nil"/>
              <w:right w:val="nil"/>
            </w:tcBorders>
            <w:shd w:val="clear" w:color="auto" w:fill="auto"/>
            <w:noWrap/>
            <w:vAlign w:val="bottom"/>
            <w:hideMark/>
          </w:tcPr>
          <w:p w14:paraId="514EB03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617</w:t>
            </w:r>
          </w:p>
        </w:tc>
        <w:tc>
          <w:tcPr>
            <w:tcW w:w="821" w:type="dxa"/>
            <w:tcBorders>
              <w:top w:val="nil"/>
              <w:left w:val="nil"/>
              <w:bottom w:val="nil"/>
              <w:right w:val="nil"/>
            </w:tcBorders>
            <w:shd w:val="clear" w:color="auto" w:fill="auto"/>
            <w:noWrap/>
            <w:vAlign w:val="bottom"/>
            <w:hideMark/>
          </w:tcPr>
          <w:p w14:paraId="52CAD82A"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1.07</w:t>
            </w:r>
          </w:p>
        </w:tc>
        <w:tc>
          <w:tcPr>
            <w:tcW w:w="821" w:type="dxa"/>
            <w:tcBorders>
              <w:top w:val="nil"/>
              <w:left w:val="nil"/>
              <w:bottom w:val="nil"/>
              <w:right w:val="nil"/>
            </w:tcBorders>
            <w:shd w:val="clear" w:color="auto" w:fill="auto"/>
            <w:noWrap/>
            <w:vAlign w:val="bottom"/>
            <w:hideMark/>
          </w:tcPr>
          <w:p w14:paraId="4AD3A73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0.38</w:t>
            </w:r>
          </w:p>
        </w:tc>
        <w:tc>
          <w:tcPr>
            <w:tcW w:w="767" w:type="dxa"/>
            <w:tcBorders>
              <w:top w:val="nil"/>
              <w:left w:val="nil"/>
              <w:bottom w:val="nil"/>
              <w:right w:val="nil"/>
            </w:tcBorders>
            <w:shd w:val="clear" w:color="auto" w:fill="auto"/>
            <w:noWrap/>
            <w:vAlign w:val="bottom"/>
            <w:hideMark/>
          </w:tcPr>
          <w:p w14:paraId="34C2A84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0.30</w:t>
            </w:r>
          </w:p>
        </w:tc>
        <w:tc>
          <w:tcPr>
            <w:tcW w:w="821" w:type="dxa"/>
            <w:tcBorders>
              <w:top w:val="nil"/>
              <w:left w:val="nil"/>
              <w:bottom w:val="nil"/>
              <w:right w:val="nil"/>
            </w:tcBorders>
            <w:shd w:val="clear" w:color="auto" w:fill="auto"/>
            <w:noWrap/>
            <w:vAlign w:val="bottom"/>
            <w:hideMark/>
          </w:tcPr>
          <w:p w14:paraId="2ABF31BE"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0.84</w:t>
            </w:r>
          </w:p>
        </w:tc>
        <w:tc>
          <w:tcPr>
            <w:tcW w:w="938" w:type="dxa"/>
            <w:tcBorders>
              <w:top w:val="nil"/>
              <w:left w:val="nil"/>
              <w:bottom w:val="nil"/>
              <w:right w:val="nil"/>
            </w:tcBorders>
            <w:shd w:val="clear" w:color="auto" w:fill="auto"/>
            <w:noWrap/>
            <w:vAlign w:val="bottom"/>
            <w:hideMark/>
          </w:tcPr>
          <w:p w14:paraId="03E42077"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1.03</w:t>
            </w:r>
          </w:p>
        </w:tc>
        <w:tc>
          <w:tcPr>
            <w:tcW w:w="766" w:type="dxa"/>
            <w:tcBorders>
              <w:top w:val="nil"/>
              <w:left w:val="nil"/>
              <w:bottom w:val="nil"/>
              <w:right w:val="nil"/>
            </w:tcBorders>
            <w:shd w:val="clear" w:color="auto" w:fill="auto"/>
            <w:noWrap/>
            <w:vAlign w:val="bottom"/>
            <w:hideMark/>
          </w:tcPr>
          <w:p w14:paraId="61BE31E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1.29</w:t>
            </w:r>
          </w:p>
        </w:tc>
        <w:tc>
          <w:tcPr>
            <w:tcW w:w="736" w:type="dxa"/>
            <w:tcBorders>
              <w:top w:val="nil"/>
              <w:left w:val="nil"/>
              <w:bottom w:val="nil"/>
              <w:right w:val="nil"/>
            </w:tcBorders>
            <w:shd w:val="clear" w:color="auto" w:fill="auto"/>
            <w:noWrap/>
            <w:vAlign w:val="bottom"/>
            <w:hideMark/>
          </w:tcPr>
          <w:p w14:paraId="588E098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2.18</w:t>
            </w:r>
          </w:p>
        </w:tc>
      </w:tr>
      <w:tr w:rsidR="001E0CFF" w:rsidRPr="002B3278" w14:paraId="3D840662" w14:textId="77777777" w:rsidTr="002B3278">
        <w:trPr>
          <w:trHeight w:val="300"/>
        </w:trPr>
        <w:tc>
          <w:tcPr>
            <w:tcW w:w="3261" w:type="dxa"/>
            <w:tcBorders>
              <w:top w:val="nil"/>
              <w:left w:val="nil"/>
              <w:bottom w:val="single" w:sz="4" w:space="0" w:color="auto"/>
              <w:right w:val="nil"/>
            </w:tcBorders>
            <w:shd w:val="clear" w:color="auto" w:fill="auto"/>
            <w:noWrap/>
            <w:vAlign w:val="bottom"/>
            <w:hideMark/>
          </w:tcPr>
          <w:p w14:paraId="6D8AF813" w14:textId="77777777" w:rsidR="001E0CFF" w:rsidRPr="002B3278" w:rsidRDefault="001E0CFF" w:rsidP="001E0CFF">
            <w:pPr>
              <w:rPr>
                <w:rFonts w:eastAsia="Times New Roman" w:cstheme="minorHAnsi"/>
                <w:i/>
                <w:iCs/>
                <w:color w:val="000000"/>
                <w:sz w:val="20"/>
                <w:szCs w:val="20"/>
              </w:rPr>
            </w:pPr>
            <w:r w:rsidRPr="002B3278">
              <w:rPr>
                <w:rFonts w:eastAsia="Times New Roman" w:cstheme="minorHAnsi"/>
                <w:i/>
                <w:iCs/>
                <w:color w:val="000000"/>
                <w:sz w:val="20"/>
                <w:szCs w:val="20"/>
              </w:rPr>
              <w:t>STD DEV RETURNS</w:t>
            </w:r>
          </w:p>
        </w:tc>
        <w:tc>
          <w:tcPr>
            <w:tcW w:w="567" w:type="dxa"/>
            <w:tcBorders>
              <w:top w:val="nil"/>
              <w:left w:val="nil"/>
              <w:bottom w:val="single" w:sz="4" w:space="0" w:color="auto"/>
              <w:right w:val="nil"/>
            </w:tcBorders>
            <w:shd w:val="clear" w:color="auto" w:fill="auto"/>
            <w:noWrap/>
            <w:vAlign w:val="bottom"/>
            <w:hideMark/>
          </w:tcPr>
          <w:p w14:paraId="075BD7D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615</w:t>
            </w:r>
          </w:p>
        </w:tc>
        <w:tc>
          <w:tcPr>
            <w:tcW w:w="821" w:type="dxa"/>
            <w:tcBorders>
              <w:top w:val="nil"/>
              <w:left w:val="nil"/>
              <w:bottom w:val="single" w:sz="4" w:space="0" w:color="auto"/>
              <w:right w:val="nil"/>
            </w:tcBorders>
            <w:shd w:val="clear" w:color="auto" w:fill="auto"/>
            <w:noWrap/>
            <w:vAlign w:val="bottom"/>
            <w:hideMark/>
          </w:tcPr>
          <w:p w14:paraId="6974B636"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0.09</w:t>
            </w:r>
          </w:p>
        </w:tc>
        <w:tc>
          <w:tcPr>
            <w:tcW w:w="821" w:type="dxa"/>
            <w:tcBorders>
              <w:top w:val="nil"/>
              <w:left w:val="nil"/>
              <w:bottom w:val="single" w:sz="4" w:space="0" w:color="auto"/>
              <w:right w:val="nil"/>
            </w:tcBorders>
            <w:shd w:val="clear" w:color="auto" w:fill="auto"/>
            <w:noWrap/>
            <w:vAlign w:val="bottom"/>
            <w:hideMark/>
          </w:tcPr>
          <w:p w14:paraId="3D7F24A9"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0.03</w:t>
            </w:r>
          </w:p>
        </w:tc>
        <w:tc>
          <w:tcPr>
            <w:tcW w:w="767" w:type="dxa"/>
            <w:tcBorders>
              <w:top w:val="nil"/>
              <w:left w:val="nil"/>
              <w:bottom w:val="single" w:sz="4" w:space="0" w:color="auto"/>
              <w:right w:val="nil"/>
            </w:tcBorders>
            <w:shd w:val="clear" w:color="auto" w:fill="auto"/>
            <w:noWrap/>
            <w:vAlign w:val="bottom"/>
            <w:hideMark/>
          </w:tcPr>
          <w:p w14:paraId="51AE4893"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0.03</w:t>
            </w:r>
          </w:p>
        </w:tc>
        <w:tc>
          <w:tcPr>
            <w:tcW w:w="821" w:type="dxa"/>
            <w:tcBorders>
              <w:top w:val="nil"/>
              <w:left w:val="nil"/>
              <w:bottom w:val="single" w:sz="4" w:space="0" w:color="auto"/>
              <w:right w:val="nil"/>
            </w:tcBorders>
            <w:shd w:val="clear" w:color="auto" w:fill="auto"/>
            <w:noWrap/>
            <w:vAlign w:val="bottom"/>
            <w:hideMark/>
          </w:tcPr>
          <w:p w14:paraId="26231FCC"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0.07</w:t>
            </w:r>
          </w:p>
        </w:tc>
        <w:tc>
          <w:tcPr>
            <w:tcW w:w="938" w:type="dxa"/>
            <w:tcBorders>
              <w:top w:val="nil"/>
              <w:left w:val="nil"/>
              <w:bottom w:val="single" w:sz="4" w:space="0" w:color="auto"/>
              <w:right w:val="nil"/>
            </w:tcBorders>
            <w:shd w:val="clear" w:color="auto" w:fill="auto"/>
            <w:noWrap/>
            <w:vAlign w:val="bottom"/>
            <w:hideMark/>
          </w:tcPr>
          <w:p w14:paraId="2C879A45"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0.09</w:t>
            </w:r>
          </w:p>
        </w:tc>
        <w:tc>
          <w:tcPr>
            <w:tcW w:w="766" w:type="dxa"/>
            <w:tcBorders>
              <w:top w:val="nil"/>
              <w:left w:val="nil"/>
              <w:bottom w:val="single" w:sz="4" w:space="0" w:color="auto"/>
              <w:right w:val="nil"/>
            </w:tcBorders>
            <w:shd w:val="clear" w:color="auto" w:fill="auto"/>
            <w:noWrap/>
            <w:vAlign w:val="bottom"/>
            <w:hideMark/>
          </w:tcPr>
          <w:p w14:paraId="693615A4"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0.11</w:t>
            </w:r>
          </w:p>
        </w:tc>
        <w:tc>
          <w:tcPr>
            <w:tcW w:w="736" w:type="dxa"/>
            <w:tcBorders>
              <w:top w:val="nil"/>
              <w:left w:val="nil"/>
              <w:bottom w:val="single" w:sz="4" w:space="0" w:color="auto"/>
              <w:right w:val="nil"/>
            </w:tcBorders>
            <w:shd w:val="clear" w:color="auto" w:fill="auto"/>
            <w:noWrap/>
            <w:vAlign w:val="bottom"/>
            <w:hideMark/>
          </w:tcPr>
          <w:p w14:paraId="5AE926D8" w14:textId="77777777" w:rsidR="001E0CFF" w:rsidRPr="002B3278" w:rsidRDefault="001E0CFF" w:rsidP="001E0CFF">
            <w:pPr>
              <w:jc w:val="right"/>
              <w:rPr>
                <w:rFonts w:eastAsia="Times New Roman" w:cstheme="minorHAnsi"/>
                <w:color w:val="000000"/>
                <w:sz w:val="20"/>
                <w:szCs w:val="20"/>
              </w:rPr>
            </w:pPr>
            <w:r w:rsidRPr="002B3278">
              <w:rPr>
                <w:rFonts w:eastAsia="Times New Roman" w:cstheme="minorHAnsi"/>
                <w:color w:val="000000"/>
                <w:sz w:val="20"/>
                <w:szCs w:val="20"/>
              </w:rPr>
              <w:t>0.21</w:t>
            </w:r>
          </w:p>
        </w:tc>
      </w:tr>
    </w:tbl>
    <w:p w14:paraId="6AFD423E" w14:textId="48386885" w:rsidR="001E0CFF" w:rsidRDefault="001E0CFF" w:rsidP="00E60E8A">
      <w:pPr>
        <w:spacing w:line="480" w:lineRule="auto"/>
        <w:jc w:val="both"/>
        <w:rPr>
          <w:sz w:val="24"/>
        </w:rPr>
      </w:pPr>
    </w:p>
    <w:p w14:paraId="370E8298" w14:textId="42B4D79C" w:rsidR="001E0CFF" w:rsidRDefault="001E0CFF" w:rsidP="00E60E8A">
      <w:pPr>
        <w:spacing w:line="480" w:lineRule="auto"/>
        <w:jc w:val="both"/>
        <w:rPr>
          <w:sz w:val="24"/>
        </w:rPr>
      </w:pPr>
    </w:p>
    <w:p w14:paraId="187FD192" w14:textId="5A760A55" w:rsidR="001E0CFF" w:rsidRDefault="001E0CFF" w:rsidP="00405C5A">
      <w:pPr>
        <w:jc w:val="both"/>
        <w:rPr>
          <w:b/>
          <w:sz w:val="24"/>
        </w:rPr>
      </w:pPr>
      <w:r>
        <w:rPr>
          <w:sz w:val="24"/>
        </w:rPr>
        <w:br w:type="page"/>
      </w:r>
      <w:r w:rsidRPr="00354E1E">
        <w:rPr>
          <w:b/>
          <w:sz w:val="24"/>
        </w:rPr>
        <w:lastRenderedPageBreak/>
        <w:t>Table 2</w:t>
      </w:r>
      <w:r w:rsidR="00572CE8">
        <w:rPr>
          <w:b/>
          <w:sz w:val="24"/>
        </w:rPr>
        <w:t xml:space="preserve"> Statistics</w:t>
      </w:r>
      <w:r w:rsidR="005A61A0" w:rsidRPr="00354E1E">
        <w:rPr>
          <w:b/>
          <w:sz w:val="24"/>
        </w:rPr>
        <w:t xml:space="preserve"> of Key Variables by Year</w:t>
      </w:r>
    </w:p>
    <w:p w14:paraId="0D71EF9B" w14:textId="2CF2F049" w:rsidR="00572CE8" w:rsidRDefault="00572CE8" w:rsidP="00405C5A">
      <w:pPr>
        <w:jc w:val="both"/>
        <w:rPr>
          <w:b/>
          <w:sz w:val="24"/>
        </w:rPr>
      </w:pPr>
    </w:p>
    <w:p w14:paraId="7EF8DF02" w14:textId="552D6DF7" w:rsidR="00572CE8" w:rsidRPr="00572CE8" w:rsidRDefault="00572CE8" w:rsidP="00405C5A">
      <w:pPr>
        <w:jc w:val="both"/>
        <w:rPr>
          <w:sz w:val="20"/>
          <w:szCs w:val="20"/>
        </w:rPr>
      </w:pPr>
      <w:r w:rsidRPr="00572CE8">
        <w:rPr>
          <w:sz w:val="20"/>
          <w:szCs w:val="20"/>
        </w:rPr>
        <w:t>This table presents the summary statistics of key variables for each year in the sample period from 2014 to 2018.</w:t>
      </w:r>
    </w:p>
    <w:p w14:paraId="48D4F61F" w14:textId="77777777" w:rsidR="00572CE8" w:rsidRPr="00354E1E" w:rsidRDefault="00572CE8" w:rsidP="00405C5A">
      <w:pPr>
        <w:jc w:val="both"/>
        <w:rPr>
          <w:b/>
          <w:sz w:val="24"/>
        </w:rPr>
      </w:pPr>
    </w:p>
    <w:tbl>
      <w:tblPr>
        <w:tblW w:w="9072" w:type="dxa"/>
        <w:tblBorders>
          <w:top w:val="single" w:sz="4" w:space="0" w:color="auto"/>
        </w:tblBorders>
        <w:tblLook w:val="04A0" w:firstRow="1" w:lastRow="0" w:firstColumn="1" w:lastColumn="0" w:noHBand="0" w:noVBand="1"/>
      </w:tblPr>
      <w:tblGrid>
        <w:gridCol w:w="4395"/>
        <w:gridCol w:w="1134"/>
        <w:gridCol w:w="851"/>
        <w:gridCol w:w="992"/>
        <w:gridCol w:w="850"/>
        <w:gridCol w:w="850"/>
      </w:tblGrid>
      <w:tr w:rsidR="00354E1E" w:rsidRPr="005A61A0" w14:paraId="32F79FB6" w14:textId="77777777" w:rsidTr="00572CE8">
        <w:trPr>
          <w:trHeight w:val="300"/>
        </w:trPr>
        <w:tc>
          <w:tcPr>
            <w:tcW w:w="4395" w:type="dxa"/>
            <w:tcBorders>
              <w:top w:val="single" w:sz="4" w:space="0" w:color="auto"/>
              <w:bottom w:val="single" w:sz="4" w:space="0" w:color="auto"/>
            </w:tcBorders>
            <w:shd w:val="clear" w:color="auto" w:fill="auto"/>
            <w:vAlign w:val="center"/>
            <w:hideMark/>
          </w:tcPr>
          <w:p w14:paraId="68DD62D0" w14:textId="77777777" w:rsidR="005A61A0" w:rsidRPr="00572CE8" w:rsidRDefault="005A61A0" w:rsidP="005A61A0">
            <w:pPr>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YEAR</w:t>
            </w:r>
          </w:p>
        </w:tc>
        <w:tc>
          <w:tcPr>
            <w:tcW w:w="1134" w:type="dxa"/>
            <w:tcBorders>
              <w:top w:val="single" w:sz="4" w:space="0" w:color="auto"/>
              <w:bottom w:val="single" w:sz="4" w:space="0" w:color="auto"/>
            </w:tcBorders>
            <w:shd w:val="clear" w:color="auto" w:fill="auto"/>
            <w:noWrap/>
            <w:vAlign w:val="center"/>
            <w:hideMark/>
          </w:tcPr>
          <w:p w14:paraId="1024C0AC" w14:textId="77777777" w:rsidR="005A61A0" w:rsidRPr="00572CE8" w:rsidRDefault="005A61A0" w:rsidP="005A61A0">
            <w:pPr>
              <w:jc w:val="right"/>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2014</w:t>
            </w:r>
          </w:p>
        </w:tc>
        <w:tc>
          <w:tcPr>
            <w:tcW w:w="851" w:type="dxa"/>
            <w:tcBorders>
              <w:top w:val="single" w:sz="4" w:space="0" w:color="auto"/>
              <w:bottom w:val="single" w:sz="4" w:space="0" w:color="auto"/>
            </w:tcBorders>
            <w:shd w:val="clear" w:color="auto" w:fill="auto"/>
            <w:noWrap/>
            <w:vAlign w:val="center"/>
            <w:hideMark/>
          </w:tcPr>
          <w:p w14:paraId="6D004AAB" w14:textId="77777777" w:rsidR="005A61A0" w:rsidRPr="00572CE8" w:rsidRDefault="005A61A0" w:rsidP="005A61A0">
            <w:pPr>
              <w:jc w:val="right"/>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2015</w:t>
            </w:r>
          </w:p>
        </w:tc>
        <w:tc>
          <w:tcPr>
            <w:tcW w:w="992" w:type="dxa"/>
            <w:tcBorders>
              <w:top w:val="single" w:sz="4" w:space="0" w:color="auto"/>
              <w:bottom w:val="single" w:sz="4" w:space="0" w:color="auto"/>
            </w:tcBorders>
            <w:shd w:val="clear" w:color="auto" w:fill="auto"/>
            <w:noWrap/>
            <w:vAlign w:val="center"/>
            <w:hideMark/>
          </w:tcPr>
          <w:p w14:paraId="3F3D6733" w14:textId="77777777" w:rsidR="005A61A0" w:rsidRPr="00572CE8" w:rsidRDefault="005A61A0" w:rsidP="005A61A0">
            <w:pPr>
              <w:jc w:val="right"/>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2016</w:t>
            </w:r>
          </w:p>
        </w:tc>
        <w:tc>
          <w:tcPr>
            <w:tcW w:w="850" w:type="dxa"/>
            <w:tcBorders>
              <w:top w:val="single" w:sz="4" w:space="0" w:color="auto"/>
              <w:bottom w:val="single" w:sz="4" w:space="0" w:color="auto"/>
            </w:tcBorders>
            <w:shd w:val="clear" w:color="auto" w:fill="auto"/>
            <w:noWrap/>
            <w:vAlign w:val="center"/>
            <w:hideMark/>
          </w:tcPr>
          <w:p w14:paraId="31ACEAB7" w14:textId="77777777" w:rsidR="005A61A0" w:rsidRPr="00572CE8" w:rsidRDefault="005A61A0" w:rsidP="005A61A0">
            <w:pPr>
              <w:jc w:val="right"/>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2017</w:t>
            </w:r>
          </w:p>
        </w:tc>
        <w:tc>
          <w:tcPr>
            <w:tcW w:w="850" w:type="dxa"/>
            <w:tcBorders>
              <w:top w:val="single" w:sz="4" w:space="0" w:color="auto"/>
              <w:bottom w:val="single" w:sz="4" w:space="0" w:color="auto"/>
            </w:tcBorders>
            <w:shd w:val="clear" w:color="auto" w:fill="auto"/>
            <w:noWrap/>
            <w:vAlign w:val="center"/>
            <w:hideMark/>
          </w:tcPr>
          <w:p w14:paraId="51B54A7E" w14:textId="77777777" w:rsidR="005A61A0" w:rsidRPr="00572CE8" w:rsidRDefault="005A61A0" w:rsidP="005A61A0">
            <w:pPr>
              <w:jc w:val="right"/>
              <w:rPr>
                <w:rFonts w:ascii="Times New Roman" w:eastAsia="Times New Roman" w:hAnsi="Times New Roman" w:cs="Times New Roman"/>
                <w:b/>
                <w:color w:val="000000"/>
                <w:sz w:val="20"/>
                <w:szCs w:val="20"/>
              </w:rPr>
            </w:pPr>
            <w:r w:rsidRPr="00572CE8">
              <w:rPr>
                <w:rFonts w:ascii="Times New Roman" w:eastAsia="Times New Roman" w:hAnsi="Times New Roman" w:cs="Times New Roman"/>
                <w:b/>
                <w:color w:val="000000"/>
                <w:sz w:val="20"/>
                <w:szCs w:val="20"/>
              </w:rPr>
              <w:t>2018</w:t>
            </w:r>
          </w:p>
        </w:tc>
      </w:tr>
      <w:tr w:rsidR="00354E1E" w:rsidRPr="005A61A0" w14:paraId="1B1A7822" w14:textId="77777777" w:rsidTr="00572CE8">
        <w:trPr>
          <w:trHeight w:val="300"/>
        </w:trPr>
        <w:tc>
          <w:tcPr>
            <w:tcW w:w="4395" w:type="dxa"/>
            <w:tcBorders>
              <w:top w:val="single" w:sz="4" w:space="0" w:color="auto"/>
            </w:tcBorders>
            <w:shd w:val="clear" w:color="auto" w:fill="auto"/>
            <w:vAlign w:val="center"/>
            <w:hideMark/>
          </w:tcPr>
          <w:p w14:paraId="60B6DE16" w14:textId="2571860F"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NUMBER OF RESOLUTIONS</w:t>
            </w:r>
          </w:p>
        </w:tc>
        <w:tc>
          <w:tcPr>
            <w:tcW w:w="1134" w:type="dxa"/>
            <w:tcBorders>
              <w:top w:val="single" w:sz="4" w:space="0" w:color="auto"/>
            </w:tcBorders>
            <w:shd w:val="clear" w:color="auto" w:fill="auto"/>
            <w:noWrap/>
            <w:vAlign w:val="center"/>
            <w:hideMark/>
          </w:tcPr>
          <w:p w14:paraId="6272CB1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32</w:t>
            </w:r>
          </w:p>
        </w:tc>
        <w:tc>
          <w:tcPr>
            <w:tcW w:w="851" w:type="dxa"/>
            <w:tcBorders>
              <w:top w:val="single" w:sz="4" w:space="0" w:color="auto"/>
            </w:tcBorders>
            <w:shd w:val="clear" w:color="auto" w:fill="auto"/>
            <w:noWrap/>
            <w:vAlign w:val="center"/>
            <w:hideMark/>
          </w:tcPr>
          <w:p w14:paraId="68E5BD58"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169</w:t>
            </w:r>
          </w:p>
        </w:tc>
        <w:tc>
          <w:tcPr>
            <w:tcW w:w="992" w:type="dxa"/>
            <w:tcBorders>
              <w:top w:val="single" w:sz="4" w:space="0" w:color="auto"/>
            </w:tcBorders>
            <w:shd w:val="clear" w:color="auto" w:fill="auto"/>
            <w:noWrap/>
            <w:vAlign w:val="center"/>
            <w:hideMark/>
          </w:tcPr>
          <w:p w14:paraId="509DB534"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144</w:t>
            </w:r>
          </w:p>
        </w:tc>
        <w:tc>
          <w:tcPr>
            <w:tcW w:w="850" w:type="dxa"/>
            <w:tcBorders>
              <w:top w:val="single" w:sz="4" w:space="0" w:color="auto"/>
            </w:tcBorders>
            <w:shd w:val="clear" w:color="auto" w:fill="auto"/>
            <w:noWrap/>
            <w:vAlign w:val="center"/>
            <w:hideMark/>
          </w:tcPr>
          <w:p w14:paraId="4D3D7CBB"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152</w:t>
            </w:r>
          </w:p>
        </w:tc>
        <w:tc>
          <w:tcPr>
            <w:tcW w:w="850" w:type="dxa"/>
            <w:tcBorders>
              <w:top w:val="single" w:sz="4" w:space="0" w:color="auto"/>
            </w:tcBorders>
            <w:shd w:val="clear" w:color="auto" w:fill="auto"/>
            <w:noWrap/>
            <w:vAlign w:val="center"/>
            <w:hideMark/>
          </w:tcPr>
          <w:p w14:paraId="4AE700E7"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166</w:t>
            </w:r>
          </w:p>
        </w:tc>
      </w:tr>
      <w:tr w:rsidR="00354E1E" w:rsidRPr="005A61A0" w14:paraId="2BAB8F37" w14:textId="77777777" w:rsidTr="00572CE8">
        <w:trPr>
          <w:trHeight w:val="300"/>
        </w:trPr>
        <w:tc>
          <w:tcPr>
            <w:tcW w:w="4395" w:type="dxa"/>
            <w:shd w:val="clear" w:color="auto" w:fill="auto"/>
            <w:vAlign w:val="center"/>
            <w:hideMark/>
          </w:tcPr>
          <w:p w14:paraId="617F7E80" w14:textId="216B873C"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NUMBER OF FIRMS</w:t>
            </w:r>
          </w:p>
        </w:tc>
        <w:tc>
          <w:tcPr>
            <w:tcW w:w="1134" w:type="dxa"/>
            <w:shd w:val="clear" w:color="auto" w:fill="auto"/>
            <w:noWrap/>
            <w:vAlign w:val="center"/>
            <w:hideMark/>
          </w:tcPr>
          <w:p w14:paraId="7324DFA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25</w:t>
            </w:r>
          </w:p>
        </w:tc>
        <w:tc>
          <w:tcPr>
            <w:tcW w:w="851" w:type="dxa"/>
            <w:shd w:val="clear" w:color="auto" w:fill="auto"/>
            <w:noWrap/>
            <w:vAlign w:val="center"/>
            <w:hideMark/>
          </w:tcPr>
          <w:p w14:paraId="68A4B367"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115</w:t>
            </w:r>
          </w:p>
        </w:tc>
        <w:tc>
          <w:tcPr>
            <w:tcW w:w="992" w:type="dxa"/>
            <w:shd w:val="clear" w:color="auto" w:fill="auto"/>
            <w:noWrap/>
            <w:vAlign w:val="center"/>
            <w:hideMark/>
          </w:tcPr>
          <w:p w14:paraId="11835701"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103</w:t>
            </w:r>
          </w:p>
        </w:tc>
        <w:tc>
          <w:tcPr>
            <w:tcW w:w="850" w:type="dxa"/>
            <w:shd w:val="clear" w:color="auto" w:fill="auto"/>
            <w:noWrap/>
            <w:vAlign w:val="center"/>
            <w:hideMark/>
          </w:tcPr>
          <w:p w14:paraId="76AD7A02"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105</w:t>
            </w:r>
          </w:p>
        </w:tc>
        <w:tc>
          <w:tcPr>
            <w:tcW w:w="850" w:type="dxa"/>
            <w:shd w:val="clear" w:color="auto" w:fill="auto"/>
            <w:noWrap/>
            <w:vAlign w:val="center"/>
            <w:hideMark/>
          </w:tcPr>
          <w:p w14:paraId="782E84DA"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118</w:t>
            </w:r>
          </w:p>
        </w:tc>
      </w:tr>
      <w:tr w:rsidR="00354E1E" w:rsidRPr="005A61A0" w14:paraId="21542226" w14:textId="77777777" w:rsidTr="00572CE8">
        <w:trPr>
          <w:trHeight w:val="300"/>
        </w:trPr>
        <w:tc>
          <w:tcPr>
            <w:tcW w:w="4395" w:type="dxa"/>
            <w:shd w:val="clear" w:color="auto" w:fill="auto"/>
            <w:vAlign w:val="center"/>
            <w:hideMark/>
          </w:tcPr>
          <w:p w14:paraId="6FA1F9BC" w14:textId="5E461270"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 RESOLUTIONS VETOED</w:t>
            </w:r>
          </w:p>
        </w:tc>
        <w:tc>
          <w:tcPr>
            <w:tcW w:w="1134" w:type="dxa"/>
            <w:shd w:val="clear" w:color="auto" w:fill="auto"/>
            <w:noWrap/>
            <w:vAlign w:val="center"/>
            <w:hideMark/>
          </w:tcPr>
          <w:p w14:paraId="33F68973"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0.00%</w:t>
            </w:r>
          </w:p>
        </w:tc>
        <w:tc>
          <w:tcPr>
            <w:tcW w:w="851" w:type="dxa"/>
            <w:shd w:val="clear" w:color="auto" w:fill="auto"/>
            <w:noWrap/>
            <w:vAlign w:val="center"/>
            <w:hideMark/>
          </w:tcPr>
          <w:p w14:paraId="1403C6D7"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1.18%</w:t>
            </w:r>
          </w:p>
        </w:tc>
        <w:tc>
          <w:tcPr>
            <w:tcW w:w="992" w:type="dxa"/>
            <w:shd w:val="clear" w:color="auto" w:fill="auto"/>
            <w:noWrap/>
            <w:vAlign w:val="center"/>
            <w:hideMark/>
          </w:tcPr>
          <w:p w14:paraId="6FEFD336"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0.00%</w:t>
            </w:r>
          </w:p>
        </w:tc>
        <w:tc>
          <w:tcPr>
            <w:tcW w:w="850" w:type="dxa"/>
            <w:shd w:val="clear" w:color="auto" w:fill="auto"/>
            <w:noWrap/>
            <w:vAlign w:val="center"/>
            <w:hideMark/>
          </w:tcPr>
          <w:p w14:paraId="5E86A5CB"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1.32%</w:t>
            </w:r>
          </w:p>
        </w:tc>
        <w:tc>
          <w:tcPr>
            <w:tcW w:w="850" w:type="dxa"/>
            <w:shd w:val="clear" w:color="auto" w:fill="auto"/>
            <w:noWrap/>
            <w:vAlign w:val="center"/>
            <w:hideMark/>
          </w:tcPr>
          <w:p w14:paraId="6E933B3A"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1.81%</w:t>
            </w:r>
          </w:p>
        </w:tc>
      </w:tr>
      <w:tr w:rsidR="00354E1E" w:rsidRPr="005A61A0" w14:paraId="3954503A" w14:textId="77777777" w:rsidTr="00572CE8">
        <w:trPr>
          <w:trHeight w:val="300"/>
        </w:trPr>
        <w:tc>
          <w:tcPr>
            <w:tcW w:w="4395" w:type="dxa"/>
            <w:shd w:val="clear" w:color="auto" w:fill="auto"/>
            <w:vAlign w:val="center"/>
            <w:hideMark/>
          </w:tcPr>
          <w:p w14:paraId="33AECBDF" w14:textId="0F289663"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TOTAL PARTICIPATION (%)</w:t>
            </w:r>
          </w:p>
        </w:tc>
        <w:tc>
          <w:tcPr>
            <w:tcW w:w="1134" w:type="dxa"/>
            <w:shd w:val="clear" w:color="auto" w:fill="auto"/>
            <w:noWrap/>
            <w:vAlign w:val="center"/>
            <w:hideMark/>
          </w:tcPr>
          <w:p w14:paraId="53CFE91A"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41.26</w:t>
            </w:r>
          </w:p>
        </w:tc>
        <w:tc>
          <w:tcPr>
            <w:tcW w:w="851" w:type="dxa"/>
            <w:shd w:val="clear" w:color="auto" w:fill="auto"/>
            <w:noWrap/>
            <w:vAlign w:val="center"/>
            <w:hideMark/>
          </w:tcPr>
          <w:p w14:paraId="6A2E6209"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41.05</w:t>
            </w:r>
          </w:p>
        </w:tc>
        <w:tc>
          <w:tcPr>
            <w:tcW w:w="992" w:type="dxa"/>
            <w:shd w:val="clear" w:color="auto" w:fill="auto"/>
            <w:noWrap/>
            <w:vAlign w:val="center"/>
            <w:hideMark/>
          </w:tcPr>
          <w:p w14:paraId="1073DA13"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45.83</w:t>
            </w:r>
          </w:p>
        </w:tc>
        <w:tc>
          <w:tcPr>
            <w:tcW w:w="850" w:type="dxa"/>
            <w:shd w:val="clear" w:color="auto" w:fill="auto"/>
            <w:noWrap/>
            <w:vAlign w:val="center"/>
            <w:hideMark/>
          </w:tcPr>
          <w:p w14:paraId="4781C678"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46.3</w:t>
            </w:r>
          </w:p>
        </w:tc>
        <w:tc>
          <w:tcPr>
            <w:tcW w:w="850" w:type="dxa"/>
            <w:shd w:val="clear" w:color="auto" w:fill="auto"/>
            <w:noWrap/>
            <w:vAlign w:val="center"/>
            <w:hideMark/>
          </w:tcPr>
          <w:p w14:paraId="58A7D2F1"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44.57</w:t>
            </w:r>
          </w:p>
        </w:tc>
      </w:tr>
      <w:tr w:rsidR="00354E1E" w:rsidRPr="005A61A0" w14:paraId="58C7FCC0" w14:textId="77777777" w:rsidTr="00572CE8">
        <w:trPr>
          <w:trHeight w:val="300"/>
        </w:trPr>
        <w:tc>
          <w:tcPr>
            <w:tcW w:w="4395" w:type="dxa"/>
            <w:shd w:val="clear" w:color="auto" w:fill="auto"/>
            <w:vAlign w:val="center"/>
            <w:hideMark/>
          </w:tcPr>
          <w:p w14:paraId="72969164" w14:textId="77777777"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 INVESTORS IN FAVOUR</w:t>
            </w:r>
          </w:p>
        </w:tc>
        <w:tc>
          <w:tcPr>
            <w:tcW w:w="1134" w:type="dxa"/>
            <w:shd w:val="clear" w:color="auto" w:fill="auto"/>
            <w:noWrap/>
            <w:vAlign w:val="center"/>
            <w:hideMark/>
          </w:tcPr>
          <w:p w14:paraId="15549EBE"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96.93</w:t>
            </w:r>
          </w:p>
        </w:tc>
        <w:tc>
          <w:tcPr>
            <w:tcW w:w="851" w:type="dxa"/>
            <w:shd w:val="clear" w:color="auto" w:fill="auto"/>
            <w:noWrap/>
            <w:vAlign w:val="center"/>
            <w:hideMark/>
          </w:tcPr>
          <w:p w14:paraId="6A5AAAC6"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94.29</w:t>
            </w:r>
          </w:p>
        </w:tc>
        <w:tc>
          <w:tcPr>
            <w:tcW w:w="992" w:type="dxa"/>
            <w:shd w:val="clear" w:color="auto" w:fill="auto"/>
            <w:noWrap/>
            <w:vAlign w:val="center"/>
            <w:hideMark/>
          </w:tcPr>
          <w:p w14:paraId="3356604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97.04</w:t>
            </w:r>
          </w:p>
        </w:tc>
        <w:tc>
          <w:tcPr>
            <w:tcW w:w="850" w:type="dxa"/>
            <w:shd w:val="clear" w:color="auto" w:fill="auto"/>
            <w:noWrap/>
            <w:vAlign w:val="center"/>
            <w:hideMark/>
          </w:tcPr>
          <w:p w14:paraId="13B817F4"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95.05</w:t>
            </w:r>
          </w:p>
        </w:tc>
        <w:tc>
          <w:tcPr>
            <w:tcW w:w="850" w:type="dxa"/>
            <w:shd w:val="clear" w:color="auto" w:fill="auto"/>
            <w:noWrap/>
            <w:vAlign w:val="center"/>
            <w:hideMark/>
          </w:tcPr>
          <w:p w14:paraId="187B99CD"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93.03</w:t>
            </w:r>
          </w:p>
        </w:tc>
      </w:tr>
      <w:tr w:rsidR="00354E1E" w:rsidRPr="005A61A0" w14:paraId="53B57642" w14:textId="77777777" w:rsidTr="00572CE8">
        <w:trPr>
          <w:trHeight w:val="300"/>
        </w:trPr>
        <w:tc>
          <w:tcPr>
            <w:tcW w:w="4395" w:type="dxa"/>
            <w:shd w:val="clear" w:color="auto" w:fill="auto"/>
            <w:vAlign w:val="center"/>
            <w:hideMark/>
          </w:tcPr>
          <w:p w14:paraId="0B384332" w14:textId="5526C828"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PARTICIPATION BY INSTITUTIONS (%)</w:t>
            </w:r>
          </w:p>
        </w:tc>
        <w:tc>
          <w:tcPr>
            <w:tcW w:w="1134" w:type="dxa"/>
            <w:shd w:val="clear" w:color="auto" w:fill="auto"/>
            <w:noWrap/>
            <w:vAlign w:val="center"/>
            <w:hideMark/>
          </w:tcPr>
          <w:p w14:paraId="087688CB"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63.05</w:t>
            </w:r>
          </w:p>
        </w:tc>
        <w:tc>
          <w:tcPr>
            <w:tcW w:w="851" w:type="dxa"/>
            <w:shd w:val="clear" w:color="auto" w:fill="auto"/>
            <w:noWrap/>
            <w:vAlign w:val="center"/>
            <w:hideMark/>
          </w:tcPr>
          <w:p w14:paraId="466A8CFE"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64.85</w:t>
            </w:r>
          </w:p>
        </w:tc>
        <w:tc>
          <w:tcPr>
            <w:tcW w:w="992" w:type="dxa"/>
            <w:shd w:val="clear" w:color="auto" w:fill="auto"/>
            <w:noWrap/>
            <w:vAlign w:val="center"/>
            <w:hideMark/>
          </w:tcPr>
          <w:p w14:paraId="00AFBD6D"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74.65</w:t>
            </w:r>
          </w:p>
        </w:tc>
        <w:tc>
          <w:tcPr>
            <w:tcW w:w="850" w:type="dxa"/>
            <w:shd w:val="clear" w:color="auto" w:fill="auto"/>
            <w:noWrap/>
            <w:vAlign w:val="center"/>
            <w:hideMark/>
          </w:tcPr>
          <w:p w14:paraId="7102A73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71.62</w:t>
            </w:r>
          </w:p>
        </w:tc>
        <w:tc>
          <w:tcPr>
            <w:tcW w:w="850" w:type="dxa"/>
            <w:shd w:val="clear" w:color="auto" w:fill="auto"/>
            <w:noWrap/>
            <w:vAlign w:val="center"/>
            <w:hideMark/>
          </w:tcPr>
          <w:p w14:paraId="0DD5875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68.78</w:t>
            </w:r>
          </w:p>
        </w:tc>
      </w:tr>
      <w:tr w:rsidR="00354E1E" w:rsidRPr="005A61A0" w14:paraId="0FDB4979" w14:textId="77777777" w:rsidTr="00572CE8">
        <w:trPr>
          <w:trHeight w:val="300"/>
        </w:trPr>
        <w:tc>
          <w:tcPr>
            <w:tcW w:w="4395" w:type="dxa"/>
            <w:shd w:val="clear" w:color="auto" w:fill="auto"/>
            <w:vAlign w:val="center"/>
            <w:hideMark/>
          </w:tcPr>
          <w:p w14:paraId="7386AC86" w14:textId="71FC7832"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 INSTITUTIONS IN FAVOUR</w:t>
            </w:r>
          </w:p>
        </w:tc>
        <w:tc>
          <w:tcPr>
            <w:tcW w:w="1134" w:type="dxa"/>
            <w:shd w:val="clear" w:color="auto" w:fill="auto"/>
            <w:noWrap/>
            <w:vAlign w:val="center"/>
            <w:hideMark/>
          </w:tcPr>
          <w:p w14:paraId="109575C3"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96.54</w:t>
            </w:r>
          </w:p>
        </w:tc>
        <w:tc>
          <w:tcPr>
            <w:tcW w:w="851" w:type="dxa"/>
            <w:shd w:val="clear" w:color="auto" w:fill="auto"/>
            <w:noWrap/>
            <w:vAlign w:val="center"/>
            <w:hideMark/>
          </w:tcPr>
          <w:p w14:paraId="50D36EAA"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92.31</w:t>
            </w:r>
          </w:p>
        </w:tc>
        <w:tc>
          <w:tcPr>
            <w:tcW w:w="992" w:type="dxa"/>
            <w:shd w:val="clear" w:color="auto" w:fill="auto"/>
            <w:noWrap/>
            <w:vAlign w:val="center"/>
            <w:hideMark/>
          </w:tcPr>
          <w:p w14:paraId="5A494BC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93.86</w:t>
            </w:r>
          </w:p>
        </w:tc>
        <w:tc>
          <w:tcPr>
            <w:tcW w:w="850" w:type="dxa"/>
            <w:shd w:val="clear" w:color="auto" w:fill="auto"/>
            <w:noWrap/>
            <w:vAlign w:val="center"/>
            <w:hideMark/>
          </w:tcPr>
          <w:p w14:paraId="48ECA081"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91.90</w:t>
            </w:r>
          </w:p>
        </w:tc>
        <w:tc>
          <w:tcPr>
            <w:tcW w:w="850" w:type="dxa"/>
            <w:shd w:val="clear" w:color="auto" w:fill="auto"/>
            <w:noWrap/>
            <w:vAlign w:val="center"/>
            <w:hideMark/>
          </w:tcPr>
          <w:p w14:paraId="38D649D5"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87.45</w:t>
            </w:r>
          </w:p>
        </w:tc>
      </w:tr>
      <w:tr w:rsidR="00354E1E" w:rsidRPr="005A61A0" w14:paraId="7837CAD7" w14:textId="77777777" w:rsidTr="00572CE8">
        <w:trPr>
          <w:trHeight w:val="300"/>
        </w:trPr>
        <w:tc>
          <w:tcPr>
            <w:tcW w:w="4395" w:type="dxa"/>
            <w:shd w:val="clear" w:color="auto" w:fill="auto"/>
            <w:vAlign w:val="center"/>
            <w:hideMark/>
          </w:tcPr>
          <w:p w14:paraId="6A9E594E" w14:textId="4BD99187"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PARTICIPATION BY RETAIL INVESTORS (%)</w:t>
            </w:r>
          </w:p>
        </w:tc>
        <w:tc>
          <w:tcPr>
            <w:tcW w:w="1134" w:type="dxa"/>
            <w:shd w:val="clear" w:color="auto" w:fill="auto"/>
            <w:noWrap/>
            <w:vAlign w:val="center"/>
            <w:hideMark/>
          </w:tcPr>
          <w:p w14:paraId="57D507EF"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21.68</w:t>
            </w:r>
          </w:p>
        </w:tc>
        <w:tc>
          <w:tcPr>
            <w:tcW w:w="851" w:type="dxa"/>
            <w:shd w:val="clear" w:color="auto" w:fill="auto"/>
            <w:noWrap/>
            <w:vAlign w:val="center"/>
            <w:hideMark/>
          </w:tcPr>
          <w:p w14:paraId="229E4CAB"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16.46</w:t>
            </w:r>
          </w:p>
        </w:tc>
        <w:tc>
          <w:tcPr>
            <w:tcW w:w="992" w:type="dxa"/>
            <w:shd w:val="clear" w:color="auto" w:fill="auto"/>
            <w:noWrap/>
            <w:vAlign w:val="center"/>
            <w:hideMark/>
          </w:tcPr>
          <w:p w14:paraId="2DF004BA"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23.60</w:t>
            </w:r>
          </w:p>
        </w:tc>
        <w:tc>
          <w:tcPr>
            <w:tcW w:w="850" w:type="dxa"/>
            <w:shd w:val="clear" w:color="auto" w:fill="auto"/>
            <w:noWrap/>
            <w:vAlign w:val="center"/>
            <w:hideMark/>
          </w:tcPr>
          <w:p w14:paraId="6BF22DC8"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22.46</w:t>
            </w:r>
          </w:p>
        </w:tc>
        <w:tc>
          <w:tcPr>
            <w:tcW w:w="850" w:type="dxa"/>
            <w:shd w:val="clear" w:color="auto" w:fill="auto"/>
            <w:noWrap/>
            <w:vAlign w:val="center"/>
            <w:hideMark/>
          </w:tcPr>
          <w:p w14:paraId="44D3462B"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21.82</w:t>
            </w:r>
          </w:p>
        </w:tc>
      </w:tr>
      <w:tr w:rsidR="00354E1E" w:rsidRPr="005A61A0" w14:paraId="2757AA77" w14:textId="77777777" w:rsidTr="00572CE8">
        <w:trPr>
          <w:trHeight w:val="300"/>
        </w:trPr>
        <w:tc>
          <w:tcPr>
            <w:tcW w:w="4395" w:type="dxa"/>
            <w:shd w:val="clear" w:color="auto" w:fill="auto"/>
            <w:vAlign w:val="center"/>
            <w:hideMark/>
          </w:tcPr>
          <w:p w14:paraId="0F6D978A" w14:textId="77777777"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 RETAIL INVESTORS IN FAVOUR</w:t>
            </w:r>
          </w:p>
        </w:tc>
        <w:tc>
          <w:tcPr>
            <w:tcW w:w="1134" w:type="dxa"/>
            <w:shd w:val="clear" w:color="auto" w:fill="auto"/>
            <w:noWrap/>
            <w:vAlign w:val="center"/>
            <w:hideMark/>
          </w:tcPr>
          <w:p w14:paraId="7A5B3F4E"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95.78</w:t>
            </w:r>
          </w:p>
        </w:tc>
        <w:tc>
          <w:tcPr>
            <w:tcW w:w="851" w:type="dxa"/>
            <w:shd w:val="clear" w:color="auto" w:fill="auto"/>
            <w:noWrap/>
            <w:vAlign w:val="center"/>
            <w:hideMark/>
          </w:tcPr>
          <w:p w14:paraId="199879B1"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96.42</w:t>
            </w:r>
          </w:p>
        </w:tc>
        <w:tc>
          <w:tcPr>
            <w:tcW w:w="992" w:type="dxa"/>
            <w:shd w:val="clear" w:color="auto" w:fill="auto"/>
            <w:noWrap/>
            <w:vAlign w:val="center"/>
            <w:hideMark/>
          </w:tcPr>
          <w:p w14:paraId="09813393"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99.03</w:t>
            </w:r>
          </w:p>
        </w:tc>
        <w:tc>
          <w:tcPr>
            <w:tcW w:w="850" w:type="dxa"/>
            <w:shd w:val="clear" w:color="auto" w:fill="auto"/>
            <w:noWrap/>
            <w:vAlign w:val="center"/>
            <w:hideMark/>
          </w:tcPr>
          <w:p w14:paraId="3CA451B0"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96.84</w:t>
            </w:r>
          </w:p>
        </w:tc>
        <w:tc>
          <w:tcPr>
            <w:tcW w:w="850" w:type="dxa"/>
            <w:shd w:val="clear" w:color="auto" w:fill="auto"/>
            <w:noWrap/>
            <w:vAlign w:val="center"/>
            <w:hideMark/>
          </w:tcPr>
          <w:p w14:paraId="06DEAB20"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94.95</w:t>
            </w:r>
          </w:p>
        </w:tc>
      </w:tr>
      <w:tr w:rsidR="00354E1E" w:rsidRPr="005A61A0" w14:paraId="3950F00E" w14:textId="77777777" w:rsidTr="00572CE8">
        <w:trPr>
          <w:trHeight w:val="300"/>
        </w:trPr>
        <w:tc>
          <w:tcPr>
            <w:tcW w:w="4395" w:type="dxa"/>
            <w:shd w:val="clear" w:color="auto" w:fill="auto"/>
            <w:vAlign w:val="center"/>
            <w:hideMark/>
          </w:tcPr>
          <w:p w14:paraId="693367C7" w14:textId="25D72CC6" w:rsidR="005A61A0" w:rsidRPr="0057453C" w:rsidRDefault="005A61A0" w:rsidP="005A61A0">
            <w:pPr>
              <w:rPr>
                <w:rFonts w:ascii="Times New Roman" w:eastAsia="Times New Roman" w:hAnsi="Times New Roman" w:cs="Times New Roman"/>
                <w:i/>
                <w:color w:val="000000"/>
                <w:sz w:val="20"/>
                <w:szCs w:val="20"/>
              </w:rPr>
            </w:pPr>
            <w:r w:rsidRPr="0057453C">
              <w:rPr>
                <w:rFonts w:ascii="Times New Roman" w:eastAsia="Times New Roman" w:hAnsi="Times New Roman" w:cs="Times New Roman"/>
                <w:i/>
                <w:color w:val="000000"/>
                <w:sz w:val="20"/>
                <w:szCs w:val="20"/>
              </w:rPr>
              <w:t>IIAS RECOMMENDATION</w:t>
            </w:r>
          </w:p>
        </w:tc>
        <w:tc>
          <w:tcPr>
            <w:tcW w:w="1134" w:type="dxa"/>
            <w:shd w:val="clear" w:color="auto" w:fill="auto"/>
            <w:noWrap/>
            <w:vAlign w:val="center"/>
            <w:hideMark/>
          </w:tcPr>
          <w:p w14:paraId="7421213F"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0.94</w:t>
            </w:r>
          </w:p>
        </w:tc>
        <w:tc>
          <w:tcPr>
            <w:tcW w:w="851" w:type="dxa"/>
            <w:shd w:val="clear" w:color="auto" w:fill="auto"/>
            <w:noWrap/>
            <w:vAlign w:val="center"/>
            <w:hideMark/>
          </w:tcPr>
          <w:p w14:paraId="36055391"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0.85</w:t>
            </w:r>
          </w:p>
        </w:tc>
        <w:tc>
          <w:tcPr>
            <w:tcW w:w="992" w:type="dxa"/>
            <w:shd w:val="clear" w:color="auto" w:fill="auto"/>
            <w:noWrap/>
            <w:vAlign w:val="center"/>
            <w:hideMark/>
          </w:tcPr>
          <w:p w14:paraId="0563A7E3"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0.85</w:t>
            </w:r>
          </w:p>
        </w:tc>
        <w:tc>
          <w:tcPr>
            <w:tcW w:w="850" w:type="dxa"/>
            <w:shd w:val="clear" w:color="auto" w:fill="auto"/>
            <w:noWrap/>
            <w:vAlign w:val="center"/>
            <w:hideMark/>
          </w:tcPr>
          <w:p w14:paraId="5B2C6A82"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0.80</w:t>
            </w:r>
          </w:p>
        </w:tc>
        <w:tc>
          <w:tcPr>
            <w:tcW w:w="850" w:type="dxa"/>
            <w:shd w:val="clear" w:color="auto" w:fill="auto"/>
            <w:noWrap/>
            <w:vAlign w:val="center"/>
            <w:hideMark/>
          </w:tcPr>
          <w:p w14:paraId="51FEDC29" w14:textId="77777777" w:rsidR="005A61A0" w:rsidRPr="005A61A0" w:rsidRDefault="005A61A0" w:rsidP="005A61A0">
            <w:pPr>
              <w:jc w:val="right"/>
              <w:rPr>
                <w:rFonts w:ascii="Times New Roman" w:eastAsia="Times New Roman" w:hAnsi="Times New Roman" w:cs="Times New Roman"/>
                <w:color w:val="000000"/>
                <w:sz w:val="20"/>
                <w:szCs w:val="20"/>
              </w:rPr>
            </w:pPr>
            <w:r w:rsidRPr="005A61A0">
              <w:rPr>
                <w:rFonts w:ascii="Times New Roman" w:eastAsia="Times New Roman" w:hAnsi="Times New Roman" w:cs="Times New Roman"/>
                <w:color w:val="000000"/>
                <w:sz w:val="20"/>
                <w:szCs w:val="20"/>
              </w:rPr>
              <w:t>0.74</w:t>
            </w:r>
          </w:p>
        </w:tc>
      </w:tr>
      <w:tr w:rsidR="005A61A0" w:rsidRPr="005A61A0" w14:paraId="0A888133" w14:textId="77777777" w:rsidTr="00572CE8">
        <w:trPr>
          <w:trHeight w:val="300"/>
        </w:trPr>
        <w:tc>
          <w:tcPr>
            <w:tcW w:w="4395" w:type="dxa"/>
            <w:shd w:val="clear" w:color="auto" w:fill="auto"/>
            <w:vAlign w:val="center"/>
          </w:tcPr>
          <w:p w14:paraId="4F6C860A" w14:textId="08204844" w:rsidR="005A61A0" w:rsidRPr="0057453C" w:rsidRDefault="005A61A0" w:rsidP="005A61A0">
            <w:pPr>
              <w:rPr>
                <w:rFonts w:ascii="Times New Roman" w:eastAsia="Times New Roman" w:hAnsi="Times New Roman" w:cs="Times New Roman"/>
                <w:i/>
                <w:color w:val="000000"/>
                <w:sz w:val="20"/>
                <w:szCs w:val="20"/>
              </w:rPr>
            </w:pPr>
            <w:r w:rsidRPr="0057453C">
              <w:rPr>
                <w:i/>
                <w:color w:val="000000"/>
                <w:sz w:val="20"/>
                <w:szCs w:val="20"/>
              </w:rPr>
              <w:t>FOG</w:t>
            </w:r>
          </w:p>
        </w:tc>
        <w:tc>
          <w:tcPr>
            <w:tcW w:w="1134" w:type="dxa"/>
            <w:shd w:val="clear" w:color="auto" w:fill="auto"/>
            <w:noWrap/>
            <w:vAlign w:val="bottom"/>
          </w:tcPr>
          <w:p w14:paraId="115F19C2" w14:textId="5981068F"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20.94</w:t>
            </w:r>
          </w:p>
        </w:tc>
        <w:tc>
          <w:tcPr>
            <w:tcW w:w="851" w:type="dxa"/>
            <w:shd w:val="clear" w:color="auto" w:fill="auto"/>
            <w:noWrap/>
            <w:vAlign w:val="bottom"/>
          </w:tcPr>
          <w:p w14:paraId="086BDF14" w14:textId="45E57C15"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23.59</w:t>
            </w:r>
          </w:p>
        </w:tc>
        <w:tc>
          <w:tcPr>
            <w:tcW w:w="992" w:type="dxa"/>
            <w:shd w:val="clear" w:color="auto" w:fill="auto"/>
            <w:noWrap/>
            <w:vAlign w:val="bottom"/>
          </w:tcPr>
          <w:p w14:paraId="2D59AD33" w14:textId="0FD60D32"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23.83</w:t>
            </w:r>
          </w:p>
        </w:tc>
        <w:tc>
          <w:tcPr>
            <w:tcW w:w="850" w:type="dxa"/>
            <w:shd w:val="clear" w:color="auto" w:fill="auto"/>
            <w:noWrap/>
            <w:vAlign w:val="bottom"/>
          </w:tcPr>
          <w:p w14:paraId="64565A70" w14:textId="21C4E94B"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28.75</w:t>
            </w:r>
          </w:p>
        </w:tc>
        <w:tc>
          <w:tcPr>
            <w:tcW w:w="850" w:type="dxa"/>
            <w:shd w:val="clear" w:color="auto" w:fill="auto"/>
            <w:noWrap/>
            <w:vAlign w:val="bottom"/>
          </w:tcPr>
          <w:p w14:paraId="5FD85D84" w14:textId="1A36A995"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30.71</w:t>
            </w:r>
          </w:p>
        </w:tc>
      </w:tr>
      <w:tr w:rsidR="005A61A0" w:rsidRPr="005A61A0" w14:paraId="67570570" w14:textId="77777777" w:rsidTr="00572CE8">
        <w:trPr>
          <w:trHeight w:val="300"/>
        </w:trPr>
        <w:tc>
          <w:tcPr>
            <w:tcW w:w="4395" w:type="dxa"/>
            <w:shd w:val="clear" w:color="auto" w:fill="auto"/>
            <w:vAlign w:val="center"/>
          </w:tcPr>
          <w:p w14:paraId="31D138C0" w14:textId="3E14699C" w:rsidR="005A61A0" w:rsidRPr="0057453C" w:rsidRDefault="005A61A0" w:rsidP="005A61A0">
            <w:pPr>
              <w:rPr>
                <w:rFonts w:ascii="Times New Roman" w:eastAsia="Times New Roman" w:hAnsi="Times New Roman" w:cs="Times New Roman"/>
                <w:i/>
                <w:color w:val="000000"/>
                <w:sz w:val="20"/>
                <w:szCs w:val="20"/>
              </w:rPr>
            </w:pPr>
            <w:r w:rsidRPr="0057453C">
              <w:rPr>
                <w:i/>
                <w:color w:val="000000"/>
                <w:sz w:val="20"/>
                <w:szCs w:val="20"/>
              </w:rPr>
              <w:t>TOTAL SENTENCES</w:t>
            </w:r>
          </w:p>
        </w:tc>
        <w:tc>
          <w:tcPr>
            <w:tcW w:w="1134" w:type="dxa"/>
            <w:shd w:val="clear" w:color="auto" w:fill="auto"/>
            <w:noWrap/>
            <w:vAlign w:val="bottom"/>
          </w:tcPr>
          <w:p w14:paraId="427AF292" w14:textId="30244D28"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17.10</w:t>
            </w:r>
          </w:p>
        </w:tc>
        <w:tc>
          <w:tcPr>
            <w:tcW w:w="851" w:type="dxa"/>
            <w:shd w:val="clear" w:color="auto" w:fill="auto"/>
            <w:noWrap/>
            <w:vAlign w:val="bottom"/>
          </w:tcPr>
          <w:p w14:paraId="01B89632" w14:textId="7BB0B5F1"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14.55</w:t>
            </w:r>
          </w:p>
        </w:tc>
        <w:tc>
          <w:tcPr>
            <w:tcW w:w="992" w:type="dxa"/>
            <w:shd w:val="clear" w:color="auto" w:fill="auto"/>
            <w:noWrap/>
            <w:vAlign w:val="bottom"/>
          </w:tcPr>
          <w:p w14:paraId="2166B6C3" w14:textId="4540EA84"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15.13</w:t>
            </w:r>
          </w:p>
        </w:tc>
        <w:tc>
          <w:tcPr>
            <w:tcW w:w="850" w:type="dxa"/>
            <w:shd w:val="clear" w:color="auto" w:fill="auto"/>
            <w:noWrap/>
            <w:vAlign w:val="bottom"/>
          </w:tcPr>
          <w:p w14:paraId="7C7E0BF7" w14:textId="6671AF7B"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13.51</w:t>
            </w:r>
          </w:p>
        </w:tc>
        <w:tc>
          <w:tcPr>
            <w:tcW w:w="850" w:type="dxa"/>
            <w:shd w:val="clear" w:color="auto" w:fill="auto"/>
            <w:noWrap/>
            <w:vAlign w:val="bottom"/>
          </w:tcPr>
          <w:p w14:paraId="0A9DEB42" w14:textId="3265E03F"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13.57</w:t>
            </w:r>
          </w:p>
        </w:tc>
      </w:tr>
      <w:tr w:rsidR="005A61A0" w:rsidRPr="005A61A0" w14:paraId="0AA5B396" w14:textId="77777777" w:rsidTr="00572CE8">
        <w:trPr>
          <w:trHeight w:val="300"/>
        </w:trPr>
        <w:tc>
          <w:tcPr>
            <w:tcW w:w="4395" w:type="dxa"/>
            <w:tcBorders>
              <w:bottom w:val="nil"/>
            </w:tcBorders>
            <w:shd w:val="clear" w:color="auto" w:fill="auto"/>
            <w:vAlign w:val="center"/>
          </w:tcPr>
          <w:p w14:paraId="107877F3" w14:textId="09588D35" w:rsidR="005A61A0" w:rsidRPr="0057453C" w:rsidRDefault="005A61A0" w:rsidP="005A61A0">
            <w:pPr>
              <w:rPr>
                <w:rFonts w:ascii="Times New Roman" w:eastAsia="Times New Roman" w:hAnsi="Times New Roman" w:cs="Times New Roman"/>
                <w:i/>
                <w:color w:val="000000"/>
                <w:sz w:val="20"/>
                <w:szCs w:val="20"/>
              </w:rPr>
            </w:pPr>
            <w:r w:rsidRPr="0057453C">
              <w:rPr>
                <w:i/>
                <w:color w:val="000000"/>
                <w:sz w:val="20"/>
                <w:szCs w:val="20"/>
              </w:rPr>
              <w:t>TOTAL WORDS</w:t>
            </w:r>
          </w:p>
        </w:tc>
        <w:tc>
          <w:tcPr>
            <w:tcW w:w="1134" w:type="dxa"/>
            <w:tcBorders>
              <w:bottom w:val="nil"/>
            </w:tcBorders>
            <w:shd w:val="clear" w:color="auto" w:fill="auto"/>
            <w:noWrap/>
            <w:vAlign w:val="bottom"/>
          </w:tcPr>
          <w:p w14:paraId="789E6C15" w14:textId="252DE633"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412.50</w:t>
            </w:r>
          </w:p>
        </w:tc>
        <w:tc>
          <w:tcPr>
            <w:tcW w:w="851" w:type="dxa"/>
            <w:tcBorders>
              <w:bottom w:val="nil"/>
            </w:tcBorders>
            <w:shd w:val="clear" w:color="auto" w:fill="auto"/>
            <w:noWrap/>
            <w:vAlign w:val="bottom"/>
          </w:tcPr>
          <w:p w14:paraId="70A5546B" w14:textId="6CE4F1FD"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376.71</w:t>
            </w:r>
          </w:p>
        </w:tc>
        <w:tc>
          <w:tcPr>
            <w:tcW w:w="992" w:type="dxa"/>
            <w:tcBorders>
              <w:bottom w:val="nil"/>
            </w:tcBorders>
            <w:shd w:val="clear" w:color="auto" w:fill="auto"/>
            <w:noWrap/>
            <w:vAlign w:val="bottom"/>
          </w:tcPr>
          <w:p w14:paraId="11A47134" w14:textId="26247158"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404.49</w:t>
            </w:r>
          </w:p>
        </w:tc>
        <w:tc>
          <w:tcPr>
            <w:tcW w:w="850" w:type="dxa"/>
            <w:tcBorders>
              <w:bottom w:val="nil"/>
            </w:tcBorders>
            <w:shd w:val="clear" w:color="auto" w:fill="auto"/>
            <w:noWrap/>
            <w:vAlign w:val="bottom"/>
          </w:tcPr>
          <w:p w14:paraId="6C9793C2" w14:textId="5F1D0F50"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382.88</w:t>
            </w:r>
          </w:p>
        </w:tc>
        <w:tc>
          <w:tcPr>
            <w:tcW w:w="850" w:type="dxa"/>
            <w:tcBorders>
              <w:bottom w:val="nil"/>
            </w:tcBorders>
            <w:shd w:val="clear" w:color="auto" w:fill="auto"/>
            <w:noWrap/>
            <w:vAlign w:val="bottom"/>
          </w:tcPr>
          <w:p w14:paraId="0E0C5857" w14:textId="78E161CD"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394.48</w:t>
            </w:r>
          </w:p>
        </w:tc>
      </w:tr>
      <w:tr w:rsidR="005A61A0" w:rsidRPr="005A61A0" w14:paraId="54F66A8E" w14:textId="77777777" w:rsidTr="00572CE8">
        <w:trPr>
          <w:trHeight w:val="300"/>
        </w:trPr>
        <w:tc>
          <w:tcPr>
            <w:tcW w:w="4395" w:type="dxa"/>
            <w:tcBorders>
              <w:top w:val="nil"/>
              <w:bottom w:val="single" w:sz="4" w:space="0" w:color="auto"/>
            </w:tcBorders>
            <w:shd w:val="clear" w:color="auto" w:fill="auto"/>
            <w:vAlign w:val="center"/>
          </w:tcPr>
          <w:p w14:paraId="11E73AE4" w14:textId="7971EB55" w:rsidR="005A61A0" w:rsidRPr="0057453C" w:rsidRDefault="005A61A0" w:rsidP="005A61A0">
            <w:pPr>
              <w:rPr>
                <w:rFonts w:ascii="Times New Roman" w:eastAsia="Times New Roman" w:hAnsi="Times New Roman" w:cs="Times New Roman"/>
                <w:i/>
                <w:color w:val="000000"/>
                <w:sz w:val="20"/>
                <w:szCs w:val="20"/>
              </w:rPr>
            </w:pPr>
            <w:r w:rsidRPr="0057453C">
              <w:rPr>
                <w:i/>
                <w:color w:val="000000"/>
                <w:sz w:val="20"/>
                <w:szCs w:val="20"/>
              </w:rPr>
              <w:t>TONE</w:t>
            </w:r>
          </w:p>
        </w:tc>
        <w:tc>
          <w:tcPr>
            <w:tcW w:w="1134" w:type="dxa"/>
            <w:tcBorders>
              <w:top w:val="nil"/>
              <w:bottom w:val="single" w:sz="4" w:space="0" w:color="auto"/>
            </w:tcBorders>
            <w:shd w:val="clear" w:color="auto" w:fill="auto"/>
            <w:noWrap/>
            <w:vAlign w:val="bottom"/>
          </w:tcPr>
          <w:p w14:paraId="6ECAF58C" w14:textId="225E1172"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-0.23</w:t>
            </w:r>
          </w:p>
        </w:tc>
        <w:tc>
          <w:tcPr>
            <w:tcW w:w="851" w:type="dxa"/>
            <w:tcBorders>
              <w:top w:val="nil"/>
              <w:bottom w:val="single" w:sz="4" w:space="0" w:color="auto"/>
            </w:tcBorders>
            <w:shd w:val="clear" w:color="auto" w:fill="auto"/>
            <w:noWrap/>
            <w:vAlign w:val="bottom"/>
          </w:tcPr>
          <w:p w14:paraId="7B3AE8F4" w14:textId="0DCFF5BE"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-0.11</w:t>
            </w:r>
          </w:p>
        </w:tc>
        <w:tc>
          <w:tcPr>
            <w:tcW w:w="992" w:type="dxa"/>
            <w:tcBorders>
              <w:top w:val="nil"/>
              <w:bottom w:val="single" w:sz="4" w:space="0" w:color="auto"/>
            </w:tcBorders>
            <w:shd w:val="clear" w:color="auto" w:fill="auto"/>
            <w:noWrap/>
            <w:vAlign w:val="bottom"/>
          </w:tcPr>
          <w:p w14:paraId="1E07C477" w14:textId="7E133DC1"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-0.23</w:t>
            </w:r>
          </w:p>
        </w:tc>
        <w:tc>
          <w:tcPr>
            <w:tcW w:w="850" w:type="dxa"/>
            <w:tcBorders>
              <w:top w:val="nil"/>
              <w:bottom w:val="single" w:sz="4" w:space="0" w:color="auto"/>
            </w:tcBorders>
            <w:shd w:val="clear" w:color="auto" w:fill="auto"/>
            <w:noWrap/>
            <w:vAlign w:val="bottom"/>
          </w:tcPr>
          <w:p w14:paraId="2B08CB65" w14:textId="43351D1C"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-0.25</w:t>
            </w:r>
          </w:p>
        </w:tc>
        <w:tc>
          <w:tcPr>
            <w:tcW w:w="850" w:type="dxa"/>
            <w:tcBorders>
              <w:top w:val="nil"/>
              <w:bottom w:val="single" w:sz="4" w:space="0" w:color="auto"/>
            </w:tcBorders>
            <w:shd w:val="clear" w:color="auto" w:fill="auto"/>
            <w:noWrap/>
            <w:vAlign w:val="bottom"/>
          </w:tcPr>
          <w:p w14:paraId="0B6FA415" w14:textId="67AA88B8" w:rsidR="005A61A0" w:rsidRPr="005A61A0" w:rsidRDefault="005A61A0" w:rsidP="005A61A0">
            <w:pPr>
              <w:jc w:val="right"/>
              <w:rPr>
                <w:rFonts w:ascii="Times New Roman" w:eastAsia="Times New Roman" w:hAnsi="Times New Roman" w:cs="Times New Roman"/>
                <w:color w:val="000000"/>
                <w:sz w:val="20"/>
                <w:szCs w:val="20"/>
              </w:rPr>
            </w:pPr>
            <w:r>
              <w:rPr>
                <w:color w:val="000000"/>
                <w:sz w:val="20"/>
                <w:szCs w:val="20"/>
              </w:rPr>
              <w:t>-0.24</w:t>
            </w:r>
          </w:p>
        </w:tc>
      </w:tr>
    </w:tbl>
    <w:p w14:paraId="15241ED0" w14:textId="61E119C7" w:rsidR="001E0CFF" w:rsidRDefault="001E0CFF" w:rsidP="00E60E8A">
      <w:pPr>
        <w:spacing w:line="480" w:lineRule="auto"/>
        <w:jc w:val="both"/>
        <w:rPr>
          <w:sz w:val="24"/>
        </w:rPr>
      </w:pPr>
    </w:p>
    <w:p w14:paraId="13A6D5F7" w14:textId="026B2313" w:rsidR="00354E1E" w:rsidRDefault="00354E1E" w:rsidP="00E60E8A">
      <w:pPr>
        <w:spacing w:line="480" w:lineRule="auto"/>
        <w:jc w:val="both"/>
        <w:rPr>
          <w:sz w:val="24"/>
        </w:rPr>
      </w:pPr>
    </w:p>
    <w:p w14:paraId="632D482C" w14:textId="5B36A9A2" w:rsidR="00354E1E" w:rsidRDefault="00354E1E">
      <w:pPr>
        <w:jc w:val="both"/>
        <w:rPr>
          <w:sz w:val="24"/>
        </w:rPr>
      </w:pPr>
      <w:r>
        <w:rPr>
          <w:sz w:val="24"/>
        </w:rPr>
        <w:br w:type="page"/>
      </w:r>
    </w:p>
    <w:p w14:paraId="5B16A10A" w14:textId="65D02A5D" w:rsidR="00354E1E" w:rsidRPr="00354E1E" w:rsidRDefault="00354E1E" w:rsidP="00E60E8A">
      <w:pPr>
        <w:spacing w:line="480" w:lineRule="auto"/>
        <w:jc w:val="both"/>
        <w:rPr>
          <w:b/>
          <w:sz w:val="24"/>
        </w:rPr>
      </w:pPr>
      <w:r w:rsidRPr="00354E1E">
        <w:rPr>
          <w:b/>
          <w:sz w:val="24"/>
        </w:rPr>
        <w:lastRenderedPageBreak/>
        <w:t>Table 3 Disclosure and Investors’ Participation in Voting</w:t>
      </w:r>
    </w:p>
    <w:p w14:paraId="3026BB2C" w14:textId="348C0CB7" w:rsidR="006852E9" w:rsidRDefault="00572CE8" w:rsidP="006852E9">
      <w:pPr>
        <w:jc w:val="both"/>
        <w:rPr>
          <w:sz w:val="20"/>
          <w:szCs w:val="20"/>
        </w:rPr>
      </w:pPr>
      <w:r>
        <w:rPr>
          <w:sz w:val="20"/>
          <w:szCs w:val="20"/>
        </w:rPr>
        <w:t>This table reports the results from Tobit regressions of</w:t>
      </w:r>
      <w:r w:rsidR="006852E9">
        <w:rPr>
          <w:sz w:val="20"/>
          <w:szCs w:val="20"/>
        </w:rPr>
        <w:t xml:space="preserve"> investors’ participation in voting on measures of information disclosure of proposed RPTs. The unit of observation is a RPT resolution which requires approval by disinterested shareholders. Dependent variables are the percentage of eligible shareholders who cast vote on the RPT resolution. Variables are defined in Appendix B. ***, ** and * indicate the estimated coefficients are statistically significant at 1%, 5% and 10% level, respectively, based on two-tailed tests. </w:t>
      </w:r>
    </w:p>
    <w:p w14:paraId="7DF63009" w14:textId="055BDC80" w:rsidR="00354E1E" w:rsidRPr="00572CE8" w:rsidRDefault="00354E1E" w:rsidP="006852E9">
      <w:pPr>
        <w:jc w:val="both"/>
        <w:rPr>
          <w:sz w:val="20"/>
          <w:szCs w:val="20"/>
        </w:rPr>
      </w:pPr>
    </w:p>
    <w:tbl>
      <w:tblPr>
        <w:tblW w:w="9214" w:type="dxa"/>
        <w:tblLook w:val="04A0" w:firstRow="1" w:lastRow="0" w:firstColumn="1" w:lastColumn="0" w:noHBand="0" w:noVBand="1"/>
      </w:tblPr>
      <w:tblGrid>
        <w:gridCol w:w="2552"/>
        <w:gridCol w:w="2126"/>
        <w:gridCol w:w="1985"/>
        <w:gridCol w:w="2551"/>
      </w:tblGrid>
      <w:tr w:rsidR="006852E9" w:rsidRPr="00354E1E" w14:paraId="1BDC8B8B" w14:textId="77777777" w:rsidTr="006852E9">
        <w:trPr>
          <w:trHeight w:val="282"/>
        </w:trPr>
        <w:tc>
          <w:tcPr>
            <w:tcW w:w="2552" w:type="dxa"/>
            <w:tcBorders>
              <w:top w:val="single" w:sz="4" w:space="0" w:color="auto"/>
              <w:left w:val="nil"/>
              <w:right w:val="nil"/>
            </w:tcBorders>
            <w:shd w:val="clear" w:color="auto" w:fill="auto"/>
            <w:noWrap/>
            <w:vAlign w:val="bottom"/>
            <w:hideMark/>
          </w:tcPr>
          <w:p w14:paraId="28C5B45E" w14:textId="77777777" w:rsidR="006852E9" w:rsidRPr="00354E1E" w:rsidRDefault="006852E9" w:rsidP="006852E9">
            <w:pPr>
              <w:rPr>
                <w:rFonts w:ascii="Times New Roman" w:eastAsia="Times New Roman" w:hAnsi="Times New Roman" w:cs="Times New Roman"/>
                <w:sz w:val="20"/>
                <w:szCs w:val="20"/>
              </w:rPr>
            </w:pPr>
            <w:r w:rsidRPr="00354E1E">
              <w:rPr>
                <w:rFonts w:ascii="Times New Roman" w:eastAsia="Times New Roman" w:hAnsi="Times New Roman" w:cs="Times New Roman"/>
                <w:sz w:val="20"/>
                <w:szCs w:val="20"/>
              </w:rPr>
              <w:t> </w:t>
            </w:r>
          </w:p>
        </w:tc>
        <w:tc>
          <w:tcPr>
            <w:tcW w:w="2126" w:type="dxa"/>
            <w:tcBorders>
              <w:top w:val="single" w:sz="4" w:space="0" w:color="auto"/>
              <w:left w:val="nil"/>
              <w:right w:val="nil"/>
            </w:tcBorders>
            <w:shd w:val="clear" w:color="auto" w:fill="auto"/>
            <w:noWrap/>
            <w:vAlign w:val="bottom"/>
            <w:hideMark/>
          </w:tcPr>
          <w:p w14:paraId="43A543BA" w14:textId="6A9B336B" w:rsidR="006852E9" w:rsidRPr="00354E1E" w:rsidRDefault="006852E9" w:rsidP="006852E9">
            <w:pPr>
              <w:jc w:val="center"/>
              <w:rPr>
                <w:rFonts w:ascii="Times New Roman" w:eastAsia="Times New Roman" w:hAnsi="Times New Roman" w:cs="Times New Roman"/>
                <w:sz w:val="20"/>
                <w:szCs w:val="20"/>
              </w:rPr>
            </w:pPr>
            <w:r w:rsidRPr="001E0CFF">
              <w:rPr>
                <w:rFonts w:ascii="Times New Roman" w:eastAsia="Times New Roman" w:hAnsi="Times New Roman" w:cs="Times New Roman"/>
                <w:i/>
                <w:iCs/>
                <w:color w:val="000000"/>
                <w:sz w:val="20"/>
                <w:szCs w:val="20"/>
              </w:rPr>
              <w:t>TOTAL PARTICIPATION</w:t>
            </w:r>
          </w:p>
        </w:tc>
        <w:tc>
          <w:tcPr>
            <w:tcW w:w="1985" w:type="dxa"/>
            <w:tcBorders>
              <w:top w:val="single" w:sz="4" w:space="0" w:color="auto"/>
              <w:left w:val="nil"/>
              <w:right w:val="nil"/>
            </w:tcBorders>
            <w:shd w:val="clear" w:color="auto" w:fill="auto"/>
            <w:noWrap/>
            <w:vAlign w:val="bottom"/>
            <w:hideMark/>
          </w:tcPr>
          <w:p w14:paraId="36241EA6" w14:textId="506D40C2" w:rsidR="006852E9" w:rsidRPr="00354E1E" w:rsidRDefault="006852E9" w:rsidP="006852E9">
            <w:pPr>
              <w:jc w:val="center"/>
              <w:rPr>
                <w:rFonts w:ascii="Times New Roman" w:eastAsia="Times New Roman" w:hAnsi="Times New Roman" w:cs="Times New Roman"/>
                <w:sz w:val="20"/>
                <w:szCs w:val="20"/>
              </w:rPr>
            </w:pPr>
            <w:r w:rsidRPr="001E0CFF">
              <w:rPr>
                <w:rFonts w:ascii="Times New Roman" w:eastAsia="Times New Roman" w:hAnsi="Times New Roman" w:cs="Times New Roman"/>
                <w:i/>
                <w:iCs/>
                <w:color w:val="000000"/>
                <w:sz w:val="20"/>
                <w:szCs w:val="20"/>
              </w:rPr>
              <w:t>PARTICIPATION BY RETAIL INVESTORS</w:t>
            </w:r>
          </w:p>
        </w:tc>
        <w:tc>
          <w:tcPr>
            <w:tcW w:w="2551" w:type="dxa"/>
            <w:tcBorders>
              <w:top w:val="single" w:sz="4" w:space="0" w:color="auto"/>
              <w:left w:val="nil"/>
              <w:right w:val="nil"/>
            </w:tcBorders>
            <w:shd w:val="clear" w:color="auto" w:fill="auto"/>
            <w:noWrap/>
            <w:vAlign w:val="bottom"/>
            <w:hideMark/>
          </w:tcPr>
          <w:p w14:paraId="22B8853F" w14:textId="3DD85924" w:rsidR="006852E9" w:rsidRPr="00354E1E" w:rsidRDefault="006852E9" w:rsidP="006852E9">
            <w:pPr>
              <w:ind w:left="222" w:hanging="222"/>
              <w:jc w:val="center"/>
              <w:rPr>
                <w:rFonts w:ascii="Times New Roman" w:eastAsia="Times New Roman" w:hAnsi="Times New Roman" w:cs="Times New Roman"/>
                <w:sz w:val="20"/>
                <w:szCs w:val="20"/>
              </w:rPr>
            </w:pPr>
            <w:r w:rsidRPr="001E0CFF">
              <w:rPr>
                <w:rFonts w:ascii="Times New Roman" w:eastAsia="Times New Roman" w:hAnsi="Times New Roman" w:cs="Times New Roman"/>
                <w:i/>
                <w:iCs/>
                <w:color w:val="000000"/>
                <w:sz w:val="20"/>
                <w:szCs w:val="20"/>
              </w:rPr>
              <w:t xml:space="preserve">PARTICIPATION BY </w:t>
            </w:r>
            <w:r>
              <w:rPr>
                <w:rFonts w:ascii="Times New Roman" w:eastAsia="Times New Roman" w:hAnsi="Times New Roman" w:cs="Times New Roman"/>
                <w:i/>
                <w:iCs/>
                <w:color w:val="000000"/>
                <w:sz w:val="20"/>
                <w:szCs w:val="20"/>
              </w:rPr>
              <w:t>INSTITUTIONAL</w:t>
            </w:r>
            <w:r w:rsidRPr="001E0CFF">
              <w:rPr>
                <w:rFonts w:ascii="Times New Roman" w:eastAsia="Times New Roman" w:hAnsi="Times New Roman" w:cs="Times New Roman"/>
                <w:i/>
                <w:iCs/>
                <w:color w:val="000000"/>
                <w:sz w:val="20"/>
                <w:szCs w:val="20"/>
              </w:rPr>
              <w:t xml:space="preserve"> INVESTORS</w:t>
            </w:r>
          </w:p>
        </w:tc>
      </w:tr>
      <w:tr w:rsidR="006852E9" w:rsidRPr="00354E1E" w14:paraId="5781B1D7" w14:textId="77777777" w:rsidTr="006852E9">
        <w:trPr>
          <w:trHeight w:val="154"/>
        </w:trPr>
        <w:tc>
          <w:tcPr>
            <w:tcW w:w="2552" w:type="dxa"/>
            <w:tcBorders>
              <w:left w:val="nil"/>
              <w:bottom w:val="single" w:sz="4" w:space="0" w:color="auto"/>
              <w:right w:val="nil"/>
            </w:tcBorders>
            <w:shd w:val="clear" w:color="auto" w:fill="auto"/>
            <w:noWrap/>
            <w:vAlign w:val="bottom"/>
          </w:tcPr>
          <w:p w14:paraId="6A6D1D69" w14:textId="4B215407" w:rsidR="006852E9" w:rsidRPr="00354E1E" w:rsidRDefault="006852E9" w:rsidP="006852E9">
            <w:pPr>
              <w:rPr>
                <w:rFonts w:ascii="Times New Roman" w:eastAsia="Times New Roman" w:hAnsi="Times New Roman" w:cs="Times New Roman"/>
                <w:sz w:val="20"/>
                <w:szCs w:val="20"/>
              </w:rPr>
            </w:pPr>
            <w:r>
              <w:rPr>
                <w:rFonts w:ascii="Times New Roman" w:eastAsia="Times New Roman" w:hAnsi="Times New Roman" w:cs="Times New Roman"/>
                <w:sz w:val="20"/>
                <w:szCs w:val="20"/>
              </w:rPr>
              <w:t>Variables</w:t>
            </w:r>
          </w:p>
        </w:tc>
        <w:tc>
          <w:tcPr>
            <w:tcW w:w="2126" w:type="dxa"/>
            <w:tcBorders>
              <w:left w:val="nil"/>
              <w:bottom w:val="single" w:sz="4" w:space="0" w:color="auto"/>
              <w:right w:val="nil"/>
            </w:tcBorders>
            <w:shd w:val="clear" w:color="auto" w:fill="auto"/>
            <w:noWrap/>
            <w:vAlign w:val="bottom"/>
          </w:tcPr>
          <w:p w14:paraId="770E40B3" w14:textId="0C12E491" w:rsidR="006852E9" w:rsidRPr="00354E1E" w:rsidRDefault="006852E9" w:rsidP="006852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tcBorders>
              <w:left w:val="nil"/>
              <w:bottom w:val="single" w:sz="4" w:space="0" w:color="auto"/>
              <w:right w:val="nil"/>
            </w:tcBorders>
            <w:shd w:val="clear" w:color="auto" w:fill="auto"/>
            <w:noWrap/>
            <w:vAlign w:val="bottom"/>
          </w:tcPr>
          <w:p w14:paraId="78D50105" w14:textId="63AF43CF" w:rsidR="006852E9" w:rsidRPr="00354E1E" w:rsidRDefault="006852E9" w:rsidP="006852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551" w:type="dxa"/>
            <w:tcBorders>
              <w:left w:val="nil"/>
              <w:bottom w:val="single" w:sz="4" w:space="0" w:color="auto"/>
              <w:right w:val="nil"/>
            </w:tcBorders>
            <w:shd w:val="clear" w:color="auto" w:fill="auto"/>
            <w:noWrap/>
            <w:vAlign w:val="bottom"/>
          </w:tcPr>
          <w:p w14:paraId="1E950F89" w14:textId="54112842" w:rsidR="006852E9" w:rsidRPr="00354E1E" w:rsidRDefault="006852E9" w:rsidP="006852E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52E9" w:rsidRPr="00354E1E" w14:paraId="155EAE4D" w14:textId="77777777" w:rsidTr="006852E9">
        <w:trPr>
          <w:trHeight w:val="255"/>
        </w:trPr>
        <w:tc>
          <w:tcPr>
            <w:tcW w:w="2552" w:type="dxa"/>
            <w:tcBorders>
              <w:top w:val="single" w:sz="4" w:space="0" w:color="auto"/>
              <w:left w:val="nil"/>
              <w:bottom w:val="nil"/>
              <w:right w:val="nil"/>
            </w:tcBorders>
            <w:shd w:val="clear" w:color="auto" w:fill="auto"/>
            <w:noWrap/>
            <w:vAlign w:val="bottom"/>
            <w:hideMark/>
          </w:tcPr>
          <w:p w14:paraId="76E21C2C"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FOG</w:t>
            </w:r>
          </w:p>
        </w:tc>
        <w:tc>
          <w:tcPr>
            <w:tcW w:w="2126" w:type="dxa"/>
            <w:tcBorders>
              <w:top w:val="single" w:sz="4" w:space="0" w:color="auto"/>
              <w:left w:val="nil"/>
              <w:bottom w:val="nil"/>
              <w:right w:val="nil"/>
            </w:tcBorders>
            <w:shd w:val="clear" w:color="auto" w:fill="auto"/>
            <w:noWrap/>
            <w:vAlign w:val="bottom"/>
            <w:hideMark/>
          </w:tcPr>
          <w:p w14:paraId="5B5FCB8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-0.036</w:t>
            </w:r>
          </w:p>
        </w:tc>
        <w:tc>
          <w:tcPr>
            <w:tcW w:w="1985" w:type="dxa"/>
            <w:tcBorders>
              <w:top w:val="single" w:sz="4" w:space="0" w:color="auto"/>
              <w:left w:val="nil"/>
              <w:bottom w:val="nil"/>
              <w:right w:val="nil"/>
            </w:tcBorders>
            <w:shd w:val="clear" w:color="auto" w:fill="auto"/>
            <w:noWrap/>
            <w:vAlign w:val="bottom"/>
            <w:hideMark/>
          </w:tcPr>
          <w:p w14:paraId="050FEA84"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-0.086</w:t>
            </w:r>
          </w:p>
        </w:tc>
        <w:tc>
          <w:tcPr>
            <w:tcW w:w="2551" w:type="dxa"/>
            <w:tcBorders>
              <w:top w:val="single" w:sz="4" w:space="0" w:color="auto"/>
              <w:left w:val="nil"/>
              <w:bottom w:val="nil"/>
              <w:right w:val="nil"/>
            </w:tcBorders>
            <w:shd w:val="clear" w:color="auto" w:fill="auto"/>
            <w:noWrap/>
            <w:vAlign w:val="bottom"/>
            <w:hideMark/>
          </w:tcPr>
          <w:p w14:paraId="4EA46FB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0.037</w:t>
            </w:r>
          </w:p>
        </w:tc>
      </w:tr>
      <w:tr w:rsidR="006852E9" w:rsidRPr="00354E1E" w14:paraId="4463B59D" w14:textId="77777777" w:rsidTr="006852E9">
        <w:trPr>
          <w:trHeight w:val="255"/>
        </w:trPr>
        <w:tc>
          <w:tcPr>
            <w:tcW w:w="2552" w:type="dxa"/>
            <w:tcBorders>
              <w:top w:val="nil"/>
              <w:left w:val="nil"/>
              <w:bottom w:val="nil"/>
              <w:right w:val="nil"/>
            </w:tcBorders>
            <w:shd w:val="clear" w:color="auto" w:fill="auto"/>
            <w:noWrap/>
            <w:vAlign w:val="bottom"/>
            <w:hideMark/>
          </w:tcPr>
          <w:p w14:paraId="6C518C3F"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F7E49A5"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[-0.539]</w:t>
            </w:r>
          </w:p>
        </w:tc>
        <w:tc>
          <w:tcPr>
            <w:tcW w:w="1985" w:type="dxa"/>
            <w:tcBorders>
              <w:top w:val="nil"/>
              <w:left w:val="nil"/>
              <w:bottom w:val="nil"/>
              <w:right w:val="nil"/>
            </w:tcBorders>
            <w:shd w:val="clear" w:color="auto" w:fill="auto"/>
            <w:noWrap/>
            <w:vAlign w:val="bottom"/>
            <w:hideMark/>
          </w:tcPr>
          <w:p w14:paraId="7ADC030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[-1.031]</w:t>
            </w:r>
          </w:p>
        </w:tc>
        <w:tc>
          <w:tcPr>
            <w:tcW w:w="2551" w:type="dxa"/>
            <w:tcBorders>
              <w:top w:val="nil"/>
              <w:left w:val="nil"/>
              <w:bottom w:val="nil"/>
              <w:right w:val="nil"/>
            </w:tcBorders>
            <w:shd w:val="clear" w:color="auto" w:fill="auto"/>
            <w:noWrap/>
            <w:vAlign w:val="bottom"/>
            <w:hideMark/>
          </w:tcPr>
          <w:p w14:paraId="656DE7D5"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[0.511]</w:t>
            </w:r>
          </w:p>
        </w:tc>
      </w:tr>
      <w:tr w:rsidR="006852E9" w:rsidRPr="00354E1E" w14:paraId="3DE20A1D" w14:textId="77777777" w:rsidTr="006852E9">
        <w:trPr>
          <w:trHeight w:val="255"/>
        </w:trPr>
        <w:tc>
          <w:tcPr>
            <w:tcW w:w="2552" w:type="dxa"/>
            <w:tcBorders>
              <w:top w:val="nil"/>
              <w:left w:val="nil"/>
              <w:bottom w:val="nil"/>
              <w:right w:val="nil"/>
            </w:tcBorders>
            <w:shd w:val="clear" w:color="auto" w:fill="auto"/>
            <w:noWrap/>
            <w:vAlign w:val="bottom"/>
            <w:hideMark/>
          </w:tcPr>
          <w:p w14:paraId="403B1CB4"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TONE</w:t>
            </w:r>
          </w:p>
        </w:tc>
        <w:tc>
          <w:tcPr>
            <w:tcW w:w="2126" w:type="dxa"/>
            <w:tcBorders>
              <w:top w:val="nil"/>
              <w:left w:val="nil"/>
              <w:bottom w:val="nil"/>
              <w:right w:val="nil"/>
            </w:tcBorders>
            <w:shd w:val="clear" w:color="auto" w:fill="auto"/>
            <w:noWrap/>
            <w:vAlign w:val="bottom"/>
            <w:hideMark/>
          </w:tcPr>
          <w:p w14:paraId="36C908F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3.393*</w:t>
            </w:r>
          </w:p>
        </w:tc>
        <w:tc>
          <w:tcPr>
            <w:tcW w:w="1985" w:type="dxa"/>
            <w:tcBorders>
              <w:top w:val="nil"/>
              <w:left w:val="nil"/>
              <w:bottom w:val="nil"/>
              <w:right w:val="nil"/>
            </w:tcBorders>
            <w:shd w:val="clear" w:color="auto" w:fill="auto"/>
            <w:noWrap/>
            <w:vAlign w:val="bottom"/>
            <w:hideMark/>
          </w:tcPr>
          <w:p w14:paraId="5969FB4B"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-2.089</w:t>
            </w:r>
          </w:p>
        </w:tc>
        <w:tc>
          <w:tcPr>
            <w:tcW w:w="2551" w:type="dxa"/>
            <w:tcBorders>
              <w:top w:val="nil"/>
              <w:left w:val="nil"/>
              <w:bottom w:val="nil"/>
              <w:right w:val="nil"/>
            </w:tcBorders>
            <w:shd w:val="clear" w:color="auto" w:fill="auto"/>
            <w:noWrap/>
            <w:vAlign w:val="bottom"/>
            <w:hideMark/>
          </w:tcPr>
          <w:p w14:paraId="51DA46F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1.394</w:t>
            </w:r>
          </w:p>
        </w:tc>
      </w:tr>
      <w:tr w:rsidR="006852E9" w:rsidRPr="00354E1E" w14:paraId="397CC266" w14:textId="77777777" w:rsidTr="006852E9">
        <w:trPr>
          <w:trHeight w:val="255"/>
        </w:trPr>
        <w:tc>
          <w:tcPr>
            <w:tcW w:w="2552" w:type="dxa"/>
            <w:tcBorders>
              <w:top w:val="nil"/>
              <w:left w:val="nil"/>
              <w:bottom w:val="nil"/>
              <w:right w:val="nil"/>
            </w:tcBorders>
            <w:shd w:val="clear" w:color="auto" w:fill="auto"/>
            <w:noWrap/>
            <w:vAlign w:val="bottom"/>
            <w:hideMark/>
          </w:tcPr>
          <w:p w14:paraId="23AAC8D6"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69E78C7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[1.837]</w:t>
            </w:r>
          </w:p>
        </w:tc>
        <w:tc>
          <w:tcPr>
            <w:tcW w:w="1985" w:type="dxa"/>
            <w:tcBorders>
              <w:top w:val="nil"/>
              <w:left w:val="nil"/>
              <w:bottom w:val="nil"/>
              <w:right w:val="nil"/>
            </w:tcBorders>
            <w:shd w:val="clear" w:color="auto" w:fill="auto"/>
            <w:noWrap/>
            <w:vAlign w:val="bottom"/>
            <w:hideMark/>
          </w:tcPr>
          <w:p w14:paraId="73047915"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[-0.916]</w:t>
            </w:r>
          </w:p>
        </w:tc>
        <w:tc>
          <w:tcPr>
            <w:tcW w:w="2551" w:type="dxa"/>
            <w:tcBorders>
              <w:top w:val="nil"/>
              <w:left w:val="nil"/>
              <w:bottom w:val="nil"/>
              <w:right w:val="nil"/>
            </w:tcBorders>
            <w:shd w:val="clear" w:color="auto" w:fill="auto"/>
            <w:noWrap/>
            <w:vAlign w:val="bottom"/>
            <w:hideMark/>
          </w:tcPr>
          <w:p w14:paraId="0DA6224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[0.687]</w:t>
            </w:r>
          </w:p>
        </w:tc>
      </w:tr>
      <w:tr w:rsidR="006852E9" w:rsidRPr="00354E1E" w14:paraId="50C70499" w14:textId="77777777" w:rsidTr="006852E9">
        <w:trPr>
          <w:trHeight w:val="255"/>
        </w:trPr>
        <w:tc>
          <w:tcPr>
            <w:tcW w:w="2552" w:type="dxa"/>
            <w:tcBorders>
              <w:top w:val="nil"/>
              <w:left w:val="nil"/>
              <w:bottom w:val="nil"/>
              <w:right w:val="nil"/>
            </w:tcBorders>
            <w:shd w:val="clear" w:color="auto" w:fill="auto"/>
            <w:noWrap/>
            <w:vAlign w:val="bottom"/>
            <w:hideMark/>
          </w:tcPr>
          <w:p w14:paraId="023A9209" w14:textId="7C01BA53"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RPT</w:t>
            </w:r>
          </w:p>
        </w:tc>
        <w:tc>
          <w:tcPr>
            <w:tcW w:w="2126" w:type="dxa"/>
            <w:tcBorders>
              <w:top w:val="nil"/>
              <w:left w:val="nil"/>
              <w:bottom w:val="nil"/>
              <w:right w:val="nil"/>
            </w:tcBorders>
            <w:shd w:val="clear" w:color="auto" w:fill="auto"/>
            <w:noWrap/>
            <w:vAlign w:val="bottom"/>
            <w:hideMark/>
          </w:tcPr>
          <w:p w14:paraId="1C01019E"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0.149</w:t>
            </w:r>
          </w:p>
        </w:tc>
        <w:tc>
          <w:tcPr>
            <w:tcW w:w="1985" w:type="dxa"/>
            <w:tcBorders>
              <w:top w:val="nil"/>
              <w:left w:val="nil"/>
              <w:bottom w:val="nil"/>
              <w:right w:val="nil"/>
            </w:tcBorders>
            <w:shd w:val="clear" w:color="auto" w:fill="auto"/>
            <w:noWrap/>
            <w:vAlign w:val="bottom"/>
            <w:hideMark/>
          </w:tcPr>
          <w:p w14:paraId="6DA7D38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-0.324</w:t>
            </w:r>
          </w:p>
        </w:tc>
        <w:tc>
          <w:tcPr>
            <w:tcW w:w="2551" w:type="dxa"/>
            <w:tcBorders>
              <w:top w:val="nil"/>
              <w:left w:val="nil"/>
              <w:bottom w:val="nil"/>
              <w:right w:val="nil"/>
            </w:tcBorders>
            <w:shd w:val="clear" w:color="auto" w:fill="auto"/>
            <w:noWrap/>
            <w:vAlign w:val="bottom"/>
            <w:hideMark/>
          </w:tcPr>
          <w:p w14:paraId="5A6ADDA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0.297</w:t>
            </w:r>
          </w:p>
        </w:tc>
      </w:tr>
      <w:tr w:rsidR="006852E9" w:rsidRPr="00354E1E" w14:paraId="41F276AE" w14:textId="77777777" w:rsidTr="006852E9">
        <w:trPr>
          <w:trHeight w:val="255"/>
        </w:trPr>
        <w:tc>
          <w:tcPr>
            <w:tcW w:w="2552" w:type="dxa"/>
            <w:tcBorders>
              <w:top w:val="nil"/>
              <w:left w:val="nil"/>
              <w:bottom w:val="nil"/>
              <w:right w:val="nil"/>
            </w:tcBorders>
            <w:shd w:val="clear" w:color="auto" w:fill="auto"/>
            <w:noWrap/>
            <w:vAlign w:val="bottom"/>
            <w:hideMark/>
          </w:tcPr>
          <w:p w14:paraId="7E0837BF"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1C4F963F"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[0.300]</w:t>
            </w:r>
          </w:p>
        </w:tc>
        <w:tc>
          <w:tcPr>
            <w:tcW w:w="1985" w:type="dxa"/>
            <w:tcBorders>
              <w:top w:val="nil"/>
              <w:left w:val="nil"/>
              <w:bottom w:val="nil"/>
              <w:right w:val="nil"/>
            </w:tcBorders>
            <w:shd w:val="clear" w:color="auto" w:fill="auto"/>
            <w:noWrap/>
            <w:vAlign w:val="bottom"/>
            <w:hideMark/>
          </w:tcPr>
          <w:p w14:paraId="3443AC1B"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[-0.524]</w:t>
            </w:r>
          </w:p>
        </w:tc>
        <w:tc>
          <w:tcPr>
            <w:tcW w:w="2551" w:type="dxa"/>
            <w:tcBorders>
              <w:top w:val="nil"/>
              <w:left w:val="nil"/>
              <w:bottom w:val="nil"/>
              <w:right w:val="nil"/>
            </w:tcBorders>
            <w:shd w:val="clear" w:color="auto" w:fill="auto"/>
            <w:noWrap/>
            <w:vAlign w:val="bottom"/>
            <w:hideMark/>
          </w:tcPr>
          <w:p w14:paraId="232E4AA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[0.539]</w:t>
            </w:r>
          </w:p>
        </w:tc>
      </w:tr>
      <w:tr w:rsidR="006852E9" w:rsidRPr="00354E1E" w14:paraId="340D020A" w14:textId="77777777" w:rsidTr="006852E9">
        <w:trPr>
          <w:trHeight w:val="255"/>
        </w:trPr>
        <w:tc>
          <w:tcPr>
            <w:tcW w:w="2552" w:type="dxa"/>
            <w:tcBorders>
              <w:top w:val="nil"/>
              <w:left w:val="nil"/>
              <w:bottom w:val="nil"/>
              <w:right w:val="nil"/>
            </w:tcBorders>
            <w:shd w:val="clear" w:color="auto" w:fill="auto"/>
            <w:noWrap/>
            <w:vAlign w:val="bottom"/>
            <w:hideMark/>
          </w:tcPr>
          <w:p w14:paraId="0DBFC9C8"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PROMOTERS HOLDING</w:t>
            </w:r>
          </w:p>
        </w:tc>
        <w:tc>
          <w:tcPr>
            <w:tcW w:w="2126" w:type="dxa"/>
            <w:tcBorders>
              <w:top w:val="nil"/>
              <w:left w:val="nil"/>
              <w:bottom w:val="nil"/>
              <w:right w:val="nil"/>
            </w:tcBorders>
            <w:shd w:val="clear" w:color="auto" w:fill="auto"/>
            <w:noWrap/>
            <w:vAlign w:val="bottom"/>
            <w:hideMark/>
          </w:tcPr>
          <w:p w14:paraId="11ACA59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-0.138*</w:t>
            </w:r>
          </w:p>
        </w:tc>
        <w:tc>
          <w:tcPr>
            <w:tcW w:w="1985" w:type="dxa"/>
            <w:tcBorders>
              <w:top w:val="nil"/>
              <w:left w:val="nil"/>
              <w:bottom w:val="nil"/>
              <w:right w:val="nil"/>
            </w:tcBorders>
            <w:shd w:val="clear" w:color="auto" w:fill="auto"/>
            <w:noWrap/>
            <w:vAlign w:val="bottom"/>
            <w:hideMark/>
          </w:tcPr>
          <w:p w14:paraId="27598AF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-0.204**</w:t>
            </w:r>
          </w:p>
        </w:tc>
        <w:tc>
          <w:tcPr>
            <w:tcW w:w="2551" w:type="dxa"/>
            <w:tcBorders>
              <w:top w:val="nil"/>
              <w:left w:val="nil"/>
              <w:bottom w:val="nil"/>
              <w:right w:val="nil"/>
            </w:tcBorders>
            <w:shd w:val="clear" w:color="auto" w:fill="auto"/>
            <w:noWrap/>
            <w:vAlign w:val="bottom"/>
            <w:hideMark/>
          </w:tcPr>
          <w:p w14:paraId="3134076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-0.142*</w:t>
            </w:r>
          </w:p>
        </w:tc>
      </w:tr>
      <w:tr w:rsidR="006852E9" w:rsidRPr="00354E1E" w14:paraId="4C0A9DF1" w14:textId="77777777" w:rsidTr="006852E9">
        <w:trPr>
          <w:trHeight w:val="255"/>
        </w:trPr>
        <w:tc>
          <w:tcPr>
            <w:tcW w:w="2552" w:type="dxa"/>
            <w:tcBorders>
              <w:top w:val="nil"/>
              <w:left w:val="nil"/>
              <w:bottom w:val="nil"/>
              <w:right w:val="nil"/>
            </w:tcBorders>
            <w:shd w:val="clear" w:color="auto" w:fill="auto"/>
            <w:noWrap/>
            <w:vAlign w:val="bottom"/>
            <w:hideMark/>
          </w:tcPr>
          <w:p w14:paraId="72140AA1"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5E8A9E5"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[-1.830]</w:t>
            </w:r>
          </w:p>
        </w:tc>
        <w:tc>
          <w:tcPr>
            <w:tcW w:w="1985" w:type="dxa"/>
            <w:tcBorders>
              <w:top w:val="nil"/>
              <w:left w:val="nil"/>
              <w:bottom w:val="nil"/>
              <w:right w:val="nil"/>
            </w:tcBorders>
            <w:shd w:val="clear" w:color="auto" w:fill="auto"/>
            <w:noWrap/>
            <w:vAlign w:val="bottom"/>
            <w:hideMark/>
          </w:tcPr>
          <w:p w14:paraId="49CA5CC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[-2.183]</w:t>
            </w:r>
          </w:p>
        </w:tc>
        <w:tc>
          <w:tcPr>
            <w:tcW w:w="2551" w:type="dxa"/>
            <w:tcBorders>
              <w:top w:val="nil"/>
              <w:left w:val="nil"/>
              <w:bottom w:val="nil"/>
              <w:right w:val="nil"/>
            </w:tcBorders>
            <w:shd w:val="clear" w:color="auto" w:fill="auto"/>
            <w:noWrap/>
            <w:vAlign w:val="bottom"/>
            <w:hideMark/>
          </w:tcPr>
          <w:p w14:paraId="73562D0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[-1.713]</w:t>
            </w:r>
          </w:p>
        </w:tc>
      </w:tr>
      <w:tr w:rsidR="006852E9" w:rsidRPr="00354E1E" w14:paraId="2EC225E7" w14:textId="77777777" w:rsidTr="006852E9">
        <w:trPr>
          <w:trHeight w:val="255"/>
        </w:trPr>
        <w:tc>
          <w:tcPr>
            <w:tcW w:w="2552" w:type="dxa"/>
            <w:tcBorders>
              <w:top w:val="nil"/>
              <w:left w:val="nil"/>
              <w:bottom w:val="nil"/>
              <w:right w:val="nil"/>
            </w:tcBorders>
            <w:shd w:val="clear" w:color="auto" w:fill="auto"/>
            <w:noWrap/>
            <w:vAlign w:val="bottom"/>
            <w:hideMark/>
          </w:tcPr>
          <w:p w14:paraId="4E5A0123"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SPECIAL RESOLUTION</w:t>
            </w:r>
          </w:p>
        </w:tc>
        <w:tc>
          <w:tcPr>
            <w:tcW w:w="2126" w:type="dxa"/>
            <w:tcBorders>
              <w:top w:val="nil"/>
              <w:left w:val="nil"/>
              <w:bottom w:val="nil"/>
              <w:right w:val="nil"/>
            </w:tcBorders>
            <w:shd w:val="clear" w:color="auto" w:fill="auto"/>
            <w:noWrap/>
            <w:vAlign w:val="bottom"/>
            <w:hideMark/>
          </w:tcPr>
          <w:p w14:paraId="6DEA8CB4"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1.960</w:t>
            </w:r>
          </w:p>
        </w:tc>
        <w:tc>
          <w:tcPr>
            <w:tcW w:w="1985" w:type="dxa"/>
            <w:tcBorders>
              <w:top w:val="nil"/>
              <w:left w:val="nil"/>
              <w:bottom w:val="nil"/>
              <w:right w:val="nil"/>
            </w:tcBorders>
            <w:shd w:val="clear" w:color="auto" w:fill="auto"/>
            <w:noWrap/>
            <w:vAlign w:val="bottom"/>
            <w:hideMark/>
          </w:tcPr>
          <w:p w14:paraId="5A24D24B"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1.356</w:t>
            </w:r>
          </w:p>
        </w:tc>
        <w:tc>
          <w:tcPr>
            <w:tcW w:w="2551" w:type="dxa"/>
            <w:tcBorders>
              <w:top w:val="nil"/>
              <w:left w:val="nil"/>
              <w:bottom w:val="nil"/>
              <w:right w:val="nil"/>
            </w:tcBorders>
            <w:shd w:val="clear" w:color="auto" w:fill="auto"/>
            <w:noWrap/>
            <w:vAlign w:val="bottom"/>
            <w:hideMark/>
          </w:tcPr>
          <w:p w14:paraId="51A47FA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-3.125</w:t>
            </w:r>
          </w:p>
        </w:tc>
      </w:tr>
      <w:tr w:rsidR="006852E9" w:rsidRPr="00354E1E" w14:paraId="5542A269" w14:textId="77777777" w:rsidTr="006852E9">
        <w:trPr>
          <w:trHeight w:val="255"/>
        </w:trPr>
        <w:tc>
          <w:tcPr>
            <w:tcW w:w="2552" w:type="dxa"/>
            <w:tcBorders>
              <w:top w:val="nil"/>
              <w:left w:val="nil"/>
              <w:bottom w:val="nil"/>
              <w:right w:val="nil"/>
            </w:tcBorders>
            <w:shd w:val="clear" w:color="auto" w:fill="auto"/>
            <w:noWrap/>
            <w:vAlign w:val="bottom"/>
            <w:hideMark/>
          </w:tcPr>
          <w:p w14:paraId="6934C889"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28FE23C3"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[0.644]</w:t>
            </w:r>
          </w:p>
        </w:tc>
        <w:tc>
          <w:tcPr>
            <w:tcW w:w="1985" w:type="dxa"/>
            <w:tcBorders>
              <w:top w:val="nil"/>
              <w:left w:val="nil"/>
              <w:bottom w:val="nil"/>
              <w:right w:val="nil"/>
            </w:tcBorders>
            <w:shd w:val="clear" w:color="auto" w:fill="auto"/>
            <w:noWrap/>
            <w:vAlign w:val="bottom"/>
            <w:hideMark/>
          </w:tcPr>
          <w:p w14:paraId="38AEAA3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[0.373]</w:t>
            </w:r>
          </w:p>
        </w:tc>
        <w:tc>
          <w:tcPr>
            <w:tcW w:w="2551" w:type="dxa"/>
            <w:tcBorders>
              <w:top w:val="nil"/>
              <w:left w:val="nil"/>
              <w:bottom w:val="nil"/>
              <w:right w:val="nil"/>
            </w:tcBorders>
            <w:shd w:val="clear" w:color="auto" w:fill="auto"/>
            <w:noWrap/>
            <w:vAlign w:val="bottom"/>
            <w:hideMark/>
          </w:tcPr>
          <w:p w14:paraId="1FC4A034"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[-0.936]</w:t>
            </w:r>
          </w:p>
        </w:tc>
      </w:tr>
      <w:tr w:rsidR="006852E9" w:rsidRPr="00354E1E" w14:paraId="6E1220DD" w14:textId="77777777" w:rsidTr="006852E9">
        <w:trPr>
          <w:trHeight w:val="255"/>
        </w:trPr>
        <w:tc>
          <w:tcPr>
            <w:tcW w:w="2552" w:type="dxa"/>
            <w:tcBorders>
              <w:top w:val="nil"/>
              <w:left w:val="nil"/>
              <w:bottom w:val="nil"/>
              <w:right w:val="nil"/>
            </w:tcBorders>
            <w:shd w:val="clear" w:color="auto" w:fill="auto"/>
            <w:noWrap/>
            <w:vAlign w:val="bottom"/>
            <w:hideMark/>
          </w:tcPr>
          <w:p w14:paraId="785D86D5"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POSTAL BALLOT</w:t>
            </w:r>
          </w:p>
        </w:tc>
        <w:tc>
          <w:tcPr>
            <w:tcW w:w="2126" w:type="dxa"/>
            <w:tcBorders>
              <w:top w:val="nil"/>
              <w:left w:val="nil"/>
              <w:bottom w:val="nil"/>
              <w:right w:val="nil"/>
            </w:tcBorders>
            <w:shd w:val="clear" w:color="auto" w:fill="auto"/>
            <w:noWrap/>
            <w:vAlign w:val="bottom"/>
            <w:hideMark/>
          </w:tcPr>
          <w:p w14:paraId="370AA0C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6.841**</w:t>
            </w:r>
          </w:p>
        </w:tc>
        <w:tc>
          <w:tcPr>
            <w:tcW w:w="1985" w:type="dxa"/>
            <w:tcBorders>
              <w:top w:val="nil"/>
              <w:left w:val="nil"/>
              <w:bottom w:val="nil"/>
              <w:right w:val="nil"/>
            </w:tcBorders>
            <w:shd w:val="clear" w:color="auto" w:fill="auto"/>
            <w:noWrap/>
            <w:vAlign w:val="bottom"/>
            <w:hideMark/>
          </w:tcPr>
          <w:p w14:paraId="2DC6AE7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-1.799</w:t>
            </w:r>
          </w:p>
        </w:tc>
        <w:tc>
          <w:tcPr>
            <w:tcW w:w="2551" w:type="dxa"/>
            <w:tcBorders>
              <w:top w:val="nil"/>
              <w:left w:val="nil"/>
              <w:bottom w:val="nil"/>
              <w:right w:val="nil"/>
            </w:tcBorders>
            <w:shd w:val="clear" w:color="auto" w:fill="auto"/>
            <w:noWrap/>
            <w:vAlign w:val="bottom"/>
            <w:hideMark/>
          </w:tcPr>
          <w:p w14:paraId="3A1FB93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4.303</w:t>
            </w:r>
          </w:p>
        </w:tc>
      </w:tr>
      <w:tr w:rsidR="006852E9" w:rsidRPr="00354E1E" w14:paraId="5AFDFB08" w14:textId="77777777" w:rsidTr="006852E9">
        <w:trPr>
          <w:trHeight w:val="255"/>
        </w:trPr>
        <w:tc>
          <w:tcPr>
            <w:tcW w:w="2552" w:type="dxa"/>
            <w:tcBorders>
              <w:top w:val="nil"/>
              <w:left w:val="nil"/>
              <w:bottom w:val="nil"/>
              <w:right w:val="nil"/>
            </w:tcBorders>
            <w:shd w:val="clear" w:color="auto" w:fill="auto"/>
            <w:noWrap/>
            <w:vAlign w:val="bottom"/>
            <w:hideMark/>
          </w:tcPr>
          <w:p w14:paraId="4883B7F8"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0357E5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[1.990]</w:t>
            </w:r>
          </w:p>
        </w:tc>
        <w:tc>
          <w:tcPr>
            <w:tcW w:w="1985" w:type="dxa"/>
            <w:tcBorders>
              <w:top w:val="nil"/>
              <w:left w:val="nil"/>
              <w:bottom w:val="nil"/>
              <w:right w:val="nil"/>
            </w:tcBorders>
            <w:shd w:val="clear" w:color="auto" w:fill="auto"/>
            <w:noWrap/>
            <w:vAlign w:val="bottom"/>
            <w:hideMark/>
          </w:tcPr>
          <w:p w14:paraId="1F3C698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[-0.421]</w:t>
            </w:r>
          </w:p>
        </w:tc>
        <w:tc>
          <w:tcPr>
            <w:tcW w:w="2551" w:type="dxa"/>
            <w:tcBorders>
              <w:top w:val="nil"/>
              <w:left w:val="nil"/>
              <w:bottom w:val="nil"/>
              <w:right w:val="nil"/>
            </w:tcBorders>
            <w:shd w:val="clear" w:color="auto" w:fill="auto"/>
            <w:noWrap/>
            <w:vAlign w:val="bottom"/>
            <w:hideMark/>
          </w:tcPr>
          <w:p w14:paraId="6BA95A6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[1.139]</w:t>
            </w:r>
          </w:p>
        </w:tc>
      </w:tr>
      <w:tr w:rsidR="006852E9" w:rsidRPr="00354E1E" w14:paraId="4EAB4063" w14:textId="77777777" w:rsidTr="006852E9">
        <w:trPr>
          <w:trHeight w:val="255"/>
        </w:trPr>
        <w:tc>
          <w:tcPr>
            <w:tcW w:w="2552" w:type="dxa"/>
            <w:tcBorders>
              <w:top w:val="nil"/>
              <w:left w:val="nil"/>
              <w:bottom w:val="nil"/>
              <w:right w:val="nil"/>
            </w:tcBorders>
            <w:shd w:val="clear" w:color="auto" w:fill="auto"/>
            <w:noWrap/>
            <w:vAlign w:val="bottom"/>
            <w:hideMark/>
          </w:tcPr>
          <w:p w14:paraId="5C944509"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IIAS RECOMMENDATION</w:t>
            </w:r>
          </w:p>
        </w:tc>
        <w:tc>
          <w:tcPr>
            <w:tcW w:w="2126" w:type="dxa"/>
            <w:tcBorders>
              <w:top w:val="nil"/>
              <w:left w:val="nil"/>
              <w:bottom w:val="nil"/>
              <w:right w:val="nil"/>
            </w:tcBorders>
            <w:shd w:val="clear" w:color="auto" w:fill="auto"/>
            <w:noWrap/>
            <w:vAlign w:val="bottom"/>
            <w:hideMark/>
          </w:tcPr>
          <w:p w14:paraId="3F29500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-4.249</w:t>
            </w:r>
          </w:p>
        </w:tc>
        <w:tc>
          <w:tcPr>
            <w:tcW w:w="1985" w:type="dxa"/>
            <w:tcBorders>
              <w:top w:val="nil"/>
              <w:left w:val="nil"/>
              <w:bottom w:val="nil"/>
              <w:right w:val="nil"/>
            </w:tcBorders>
            <w:shd w:val="clear" w:color="auto" w:fill="auto"/>
            <w:noWrap/>
            <w:vAlign w:val="bottom"/>
            <w:hideMark/>
          </w:tcPr>
          <w:p w14:paraId="2EEFC34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-0.552</w:t>
            </w:r>
          </w:p>
        </w:tc>
        <w:tc>
          <w:tcPr>
            <w:tcW w:w="2551" w:type="dxa"/>
            <w:tcBorders>
              <w:top w:val="nil"/>
              <w:left w:val="nil"/>
              <w:bottom w:val="nil"/>
              <w:right w:val="nil"/>
            </w:tcBorders>
            <w:shd w:val="clear" w:color="auto" w:fill="auto"/>
            <w:noWrap/>
            <w:vAlign w:val="bottom"/>
            <w:hideMark/>
          </w:tcPr>
          <w:p w14:paraId="3F23777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-10.419***</w:t>
            </w:r>
          </w:p>
        </w:tc>
      </w:tr>
      <w:tr w:rsidR="006852E9" w:rsidRPr="00354E1E" w14:paraId="2BE50AE3" w14:textId="77777777" w:rsidTr="006852E9">
        <w:trPr>
          <w:trHeight w:val="255"/>
        </w:trPr>
        <w:tc>
          <w:tcPr>
            <w:tcW w:w="2552" w:type="dxa"/>
            <w:tcBorders>
              <w:top w:val="nil"/>
              <w:left w:val="nil"/>
              <w:bottom w:val="nil"/>
              <w:right w:val="nil"/>
            </w:tcBorders>
            <w:shd w:val="clear" w:color="auto" w:fill="auto"/>
            <w:noWrap/>
            <w:vAlign w:val="bottom"/>
            <w:hideMark/>
          </w:tcPr>
          <w:p w14:paraId="1AD1F13B"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320210E"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[-1.382]</w:t>
            </w:r>
          </w:p>
        </w:tc>
        <w:tc>
          <w:tcPr>
            <w:tcW w:w="1985" w:type="dxa"/>
            <w:tcBorders>
              <w:top w:val="nil"/>
              <w:left w:val="nil"/>
              <w:bottom w:val="nil"/>
              <w:right w:val="nil"/>
            </w:tcBorders>
            <w:shd w:val="clear" w:color="auto" w:fill="auto"/>
            <w:noWrap/>
            <w:vAlign w:val="bottom"/>
            <w:hideMark/>
          </w:tcPr>
          <w:p w14:paraId="02A0C78B"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[-0.144]</w:t>
            </w:r>
          </w:p>
        </w:tc>
        <w:tc>
          <w:tcPr>
            <w:tcW w:w="2551" w:type="dxa"/>
            <w:tcBorders>
              <w:top w:val="nil"/>
              <w:left w:val="nil"/>
              <w:bottom w:val="nil"/>
              <w:right w:val="nil"/>
            </w:tcBorders>
            <w:shd w:val="clear" w:color="auto" w:fill="auto"/>
            <w:noWrap/>
            <w:vAlign w:val="bottom"/>
            <w:hideMark/>
          </w:tcPr>
          <w:p w14:paraId="6D13CE7A"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[-3.087]</w:t>
            </w:r>
          </w:p>
        </w:tc>
      </w:tr>
      <w:tr w:rsidR="006852E9" w:rsidRPr="00354E1E" w14:paraId="102E5040" w14:textId="77777777" w:rsidTr="006852E9">
        <w:trPr>
          <w:trHeight w:val="255"/>
        </w:trPr>
        <w:tc>
          <w:tcPr>
            <w:tcW w:w="2552" w:type="dxa"/>
            <w:tcBorders>
              <w:top w:val="nil"/>
              <w:left w:val="nil"/>
              <w:bottom w:val="nil"/>
              <w:right w:val="nil"/>
            </w:tcBorders>
            <w:shd w:val="clear" w:color="auto" w:fill="auto"/>
            <w:noWrap/>
            <w:vAlign w:val="bottom"/>
            <w:hideMark/>
          </w:tcPr>
          <w:p w14:paraId="0CDF804F"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ROA</w:t>
            </w:r>
          </w:p>
        </w:tc>
        <w:tc>
          <w:tcPr>
            <w:tcW w:w="2126" w:type="dxa"/>
            <w:tcBorders>
              <w:top w:val="nil"/>
              <w:left w:val="nil"/>
              <w:bottom w:val="nil"/>
              <w:right w:val="nil"/>
            </w:tcBorders>
            <w:shd w:val="clear" w:color="auto" w:fill="auto"/>
            <w:noWrap/>
            <w:vAlign w:val="bottom"/>
            <w:hideMark/>
          </w:tcPr>
          <w:p w14:paraId="754A020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58.343***</w:t>
            </w:r>
          </w:p>
        </w:tc>
        <w:tc>
          <w:tcPr>
            <w:tcW w:w="1985" w:type="dxa"/>
            <w:tcBorders>
              <w:top w:val="nil"/>
              <w:left w:val="nil"/>
              <w:bottom w:val="nil"/>
              <w:right w:val="nil"/>
            </w:tcBorders>
            <w:shd w:val="clear" w:color="auto" w:fill="auto"/>
            <w:noWrap/>
            <w:vAlign w:val="bottom"/>
            <w:hideMark/>
          </w:tcPr>
          <w:p w14:paraId="333BE01E"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11.579</w:t>
            </w:r>
          </w:p>
        </w:tc>
        <w:tc>
          <w:tcPr>
            <w:tcW w:w="2551" w:type="dxa"/>
            <w:tcBorders>
              <w:top w:val="nil"/>
              <w:left w:val="nil"/>
              <w:bottom w:val="nil"/>
              <w:right w:val="nil"/>
            </w:tcBorders>
            <w:shd w:val="clear" w:color="auto" w:fill="auto"/>
            <w:noWrap/>
            <w:vAlign w:val="bottom"/>
            <w:hideMark/>
          </w:tcPr>
          <w:p w14:paraId="1B11AD33"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40.886*</w:t>
            </w:r>
          </w:p>
        </w:tc>
      </w:tr>
      <w:tr w:rsidR="006852E9" w:rsidRPr="00354E1E" w14:paraId="425D0AEB" w14:textId="77777777" w:rsidTr="006852E9">
        <w:trPr>
          <w:trHeight w:val="255"/>
        </w:trPr>
        <w:tc>
          <w:tcPr>
            <w:tcW w:w="2552" w:type="dxa"/>
            <w:tcBorders>
              <w:top w:val="nil"/>
              <w:left w:val="nil"/>
              <w:bottom w:val="nil"/>
              <w:right w:val="nil"/>
            </w:tcBorders>
            <w:shd w:val="clear" w:color="auto" w:fill="auto"/>
            <w:noWrap/>
            <w:vAlign w:val="bottom"/>
            <w:hideMark/>
          </w:tcPr>
          <w:p w14:paraId="5BC96F1B"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59B84010"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[3.021]</w:t>
            </w:r>
          </w:p>
        </w:tc>
        <w:tc>
          <w:tcPr>
            <w:tcW w:w="1985" w:type="dxa"/>
            <w:tcBorders>
              <w:top w:val="nil"/>
              <w:left w:val="nil"/>
              <w:bottom w:val="nil"/>
              <w:right w:val="nil"/>
            </w:tcBorders>
            <w:shd w:val="clear" w:color="auto" w:fill="auto"/>
            <w:noWrap/>
            <w:vAlign w:val="bottom"/>
            <w:hideMark/>
          </w:tcPr>
          <w:p w14:paraId="0C7E9D2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[0.484]</w:t>
            </w:r>
          </w:p>
        </w:tc>
        <w:tc>
          <w:tcPr>
            <w:tcW w:w="2551" w:type="dxa"/>
            <w:tcBorders>
              <w:top w:val="nil"/>
              <w:left w:val="nil"/>
              <w:bottom w:val="nil"/>
              <w:right w:val="nil"/>
            </w:tcBorders>
            <w:shd w:val="clear" w:color="auto" w:fill="auto"/>
            <w:noWrap/>
            <w:vAlign w:val="bottom"/>
            <w:hideMark/>
          </w:tcPr>
          <w:p w14:paraId="70608862"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[1.928]</w:t>
            </w:r>
          </w:p>
        </w:tc>
      </w:tr>
      <w:tr w:rsidR="006852E9" w:rsidRPr="00354E1E" w14:paraId="08F62A2E" w14:textId="77777777" w:rsidTr="006852E9">
        <w:trPr>
          <w:trHeight w:val="255"/>
        </w:trPr>
        <w:tc>
          <w:tcPr>
            <w:tcW w:w="2552" w:type="dxa"/>
            <w:tcBorders>
              <w:top w:val="nil"/>
              <w:left w:val="nil"/>
              <w:bottom w:val="nil"/>
              <w:right w:val="nil"/>
            </w:tcBorders>
            <w:shd w:val="clear" w:color="auto" w:fill="auto"/>
            <w:noWrap/>
            <w:vAlign w:val="bottom"/>
            <w:hideMark/>
          </w:tcPr>
          <w:p w14:paraId="0678A1D5"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LOG (ASSETS)</w:t>
            </w:r>
          </w:p>
        </w:tc>
        <w:tc>
          <w:tcPr>
            <w:tcW w:w="2126" w:type="dxa"/>
            <w:tcBorders>
              <w:top w:val="nil"/>
              <w:left w:val="nil"/>
              <w:bottom w:val="nil"/>
              <w:right w:val="nil"/>
            </w:tcBorders>
            <w:shd w:val="clear" w:color="auto" w:fill="auto"/>
            <w:noWrap/>
            <w:vAlign w:val="bottom"/>
            <w:hideMark/>
          </w:tcPr>
          <w:p w14:paraId="5CE50E4B"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4.533***</w:t>
            </w:r>
          </w:p>
        </w:tc>
        <w:tc>
          <w:tcPr>
            <w:tcW w:w="1985" w:type="dxa"/>
            <w:tcBorders>
              <w:top w:val="nil"/>
              <w:left w:val="nil"/>
              <w:bottom w:val="nil"/>
              <w:right w:val="nil"/>
            </w:tcBorders>
            <w:shd w:val="clear" w:color="auto" w:fill="auto"/>
            <w:noWrap/>
            <w:vAlign w:val="bottom"/>
            <w:hideMark/>
          </w:tcPr>
          <w:p w14:paraId="5A6229A3"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0.296</w:t>
            </w:r>
          </w:p>
        </w:tc>
        <w:tc>
          <w:tcPr>
            <w:tcW w:w="2551" w:type="dxa"/>
            <w:tcBorders>
              <w:top w:val="nil"/>
              <w:left w:val="nil"/>
              <w:bottom w:val="nil"/>
              <w:right w:val="nil"/>
            </w:tcBorders>
            <w:shd w:val="clear" w:color="auto" w:fill="auto"/>
            <w:noWrap/>
            <w:vAlign w:val="bottom"/>
            <w:hideMark/>
          </w:tcPr>
          <w:p w14:paraId="02E43C9E"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-1.028</w:t>
            </w:r>
          </w:p>
        </w:tc>
      </w:tr>
      <w:tr w:rsidR="006852E9" w:rsidRPr="00354E1E" w14:paraId="1ED9B423" w14:textId="77777777" w:rsidTr="006852E9">
        <w:trPr>
          <w:trHeight w:val="255"/>
        </w:trPr>
        <w:tc>
          <w:tcPr>
            <w:tcW w:w="2552" w:type="dxa"/>
            <w:tcBorders>
              <w:top w:val="nil"/>
              <w:left w:val="nil"/>
              <w:bottom w:val="nil"/>
              <w:right w:val="nil"/>
            </w:tcBorders>
            <w:shd w:val="clear" w:color="auto" w:fill="auto"/>
            <w:noWrap/>
            <w:vAlign w:val="bottom"/>
            <w:hideMark/>
          </w:tcPr>
          <w:p w14:paraId="66BCE3B4"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77785BA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[5.532]</w:t>
            </w:r>
          </w:p>
        </w:tc>
        <w:tc>
          <w:tcPr>
            <w:tcW w:w="1985" w:type="dxa"/>
            <w:tcBorders>
              <w:top w:val="nil"/>
              <w:left w:val="nil"/>
              <w:bottom w:val="nil"/>
              <w:right w:val="nil"/>
            </w:tcBorders>
            <w:shd w:val="clear" w:color="auto" w:fill="auto"/>
            <w:noWrap/>
            <w:vAlign w:val="bottom"/>
            <w:hideMark/>
          </w:tcPr>
          <w:p w14:paraId="5F61F0F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[0.295]</w:t>
            </w:r>
          </w:p>
        </w:tc>
        <w:tc>
          <w:tcPr>
            <w:tcW w:w="2551" w:type="dxa"/>
            <w:tcBorders>
              <w:top w:val="nil"/>
              <w:left w:val="nil"/>
              <w:bottom w:val="nil"/>
              <w:right w:val="nil"/>
            </w:tcBorders>
            <w:shd w:val="clear" w:color="auto" w:fill="auto"/>
            <w:noWrap/>
            <w:vAlign w:val="bottom"/>
            <w:hideMark/>
          </w:tcPr>
          <w:p w14:paraId="4B65E39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[-1.142]</w:t>
            </w:r>
          </w:p>
        </w:tc>
      </w:tr>
      <w:tr w:rsidR="006852E9" w:rsidRPr="00354E1E" w14:paraId="1B46A503" w14:textId="77777777" w:rsidTr="006852E9">
        <w:trPr>
          <w:trHeight w:val="255"/>
        </w:trPr>
        <w:tc>
          <w:tcPr>
            <w:tcW w:w="2552" w:type="dxa"/>
            <w:tcBorders>
              <w:top w:val="nil"/>
              <w:left w:val="nil"/>
              <w:bottom w:val="nil"/>
              <w:right w:val="nil"/>
            </w:tcBorders>
            <w:shd w:val="clear" w:color="auto" w:fill="auto"/>
            <w:noWrap/>
            <w:vAlign w:val="bottom"/>
            <w:hideMark/>
          </w:tcPr>
          <w:p w14:paraId="20E05BBD" w14:textId="7F5E1B25" w:rsidR="006852E9" w:rsidRPr="00354E1E" w:rsidRDefault="002B3278" w:rsidP="006852E9">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MB</w:t>
            </w:r>
          </w:p>
        </w:tc>
        <w:tc>
          <w:tcPr>
            <w:tcW w:w="2126" w:type="dxa"/>
            <w:tcBorders>
              <w:top w:val="nil"/>
              <w:left w:val="nil"/>
              <w:bottom w:val="nil"/>
              <w:right w:val="nil"/>
            </w:tcBorders>
            <w:shd w:val="clear" w:color="auto" w:fill="auto"/>
            <w:noWrap/>
            <w:vAlign w:val="bottom"/>
            <w:hideMark/>
          </w:tcPr>
          <w:p w14:paraId="5A2C1DE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0.196</w:t>
            </w:r>
          </w:p>
        </w:tc>
        <w:tc>
          <w:tcPr>
            <w:tcW w:w="1985" w:type="dxa"/>
            <w:tcBorders>
              <w:top w:val="nil"/>
              <w:left w:val="nil"/>
              <w:bottom w:val="nil"/>
              <w:right w:val="nil"/>
            </w:tcBorders>
            <w:shd w:val="clear" w:color="auto" w:fill="auto"/>
            <w:noWrap/>
            <w:vAlign w:val="bottom"/>
            <w:hideMark/>
          </w:tcPr>
          <w:p w14:paraId="6984024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-0.719**</w:t>
            </w:r>
          </w:p>
        </w:tc>
        <w:tc>
          <w:tcPr>
            <w:tcW w:w="2551" w:type="dxa"/>
            <w:tcBorders>
              <w:top w:val="nil"/>
              <w:left w:val="nil"/>
              <w:bottom w:val="nil"/>
              <w:right w:val="nil"/>
            </w:tcBorders>
            <w:shd w:val="clear" w:color="auto" w:fill="auto"/>
            <w:noWrap/>
            <w:vAlign w:val="bottom"/>
            <w:hideMark/>
          </w:tcPr>
          <w:p w14:paraId="0857619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0.204</w:t>
            </w:r>
          </w:p>
        </w:tc>
      </w:tr>
      <w:tr w:rsidR="006852E9" w:rsidRPr="00354E1E" w14:paraId="1060CD01" w14:textId="77777777" w:rsidTr="006852E9">
        <w:trPr>
          <w:trHeight w:val="255"/>
        </w:trPr>
        <w:tc>
          <w:tcPr>
            <w:tcW w:w="2552" w:type="dxa"/>
            <w:tcBorders>
              <w:top w:val="nil"/>
              <w:left w:val="nil"/>
              <w:bottom w:val="nil"/>
              <w:right w:val="nil"/>
            </w:tcBorders>
            <w:shd w:val="clear" w:color="auto" w:fill="auto"/>
            <w:noWrap/>
            <w:vAlign w:val="bottom"/>
            <w:hideMark/>
          </w:tcPr>
          <w:p w14:paraId="00351373"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F37CE77"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[0.745]</w:t>
            </w:r>
          </w:p>
        </w:tc>
        <w:tc>
          <w:tcPr>
            <w:tcW w:w="1985" w:type="dxa"/>
            <w:tcBorders>
              <w:top w:val="nil"/>
              <w:left w:val="nil"/>
              <w:bottom w:val="nil"/>
              <w:right w:val="nil"/>
            </w:tcBorders>
            <w:shd w:val="clear" w:color="auto" w:fill="auto"/>
            <w:noWrap/>
            <w:vAlign w:val="bottom"/>
            <w:hideMark/>
          </w:tcPr>
          <w:p w14:paraId="6AF85AB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[-2.206]</w:t>
            </w:r>
          </w:p>
        </w:tc>
        <w:tc>
          <w:tcPr>
            <w:tcW w:w="2551" w:type="dxa"/>
            <w:tcBorders>
              <w:top w:val="nil"/>
              <w:left w:val="nil"/>
              <w:bottom w:val="nil"/>
              <w:right w:val="nil"/>
            </w:tcBorders>
            <w:shd w:val="clear" w:color="auto" w:fill="auto"/>
            <w:noWrap/>
            <w:vAlign w:val="bottom"/>
            <w:hideMark/>
          </w:tcPr>
          <w:p w14:paraId="54BDCCA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[0.705]</w:t>
            </w:r>
          </w:p>
        </w:tc>
      </w:tr>
      <w:tr w:rsidR="006852E9" w:rsidRPr="00354E1E" w14:paraId="03F5E8B8" w14:textId="77777777" w:rsidTr="006852E9">
        <w:trPr>
          <w:trHeight w:val="255"/>
        </w:trPr>
        <w:tc>
          <w:tcPr>
            <w:tcW w:w="2552" w:type="dxa"/>
            <w:tcBorders>
              <w:top w:val="nil"/>
              <w:left w:val="nil"/>
              <w:bottom w:val="nil"/>
              <w:right w:val="nil"/>
            </w:tcBorders>
            <w:shd w:val="clear" w:color="auto" w:fill="auto"/>
            <w:noWrap/>
            <w:vAlign w:val="bottom"/>
            <w:hideMark/>
          </w:tcPr>
          <w:p w14:paraId="6CA56AE3"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ANNUAL RETURNS</w:t>
            </w:r>
          </w:p>
        </w:tc>
        <w:tc>
          <w:tcPr>
            <w:tcW w:w="2126" w:type="dxa"/>
            <w:tcBorders>
              <w:top w:val="nil"/>
              <w:left w:val="nil"/>
              <w:bottom w:val="nil"/>
              <w:right w:val="nil"/>
            </w:tcBorders>
            <w:shd w:val="clear" w:color="auto" w:fill="auto"/>
            <w:noWrap/>
            <w:vAlign w:val="bottom"/>
            <w:hideMark/>
          </w:tcPr>
          <w:p w14:paraId="21028A44"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-1.965</w:t>
            </w:r>
          </w:p>
        </w:tc>
        <w:tc>
          <w:tcPr>
            <w:tcW w:w="1985" w:type="dxa"/>
            <w:tcBorders>
              <w:top w:val="nil"/>
              <w:left w:val="nil"/>
              <w:bottom w:val="nil"/>
              <w:right w:val="nil"/>
            </w:tcBorders>
            <w:shd w:val="clear" w:color="auto" w:fill="auto"/>
            <w:noWrap/>
            <w:vAlign w:val="bottom"/>
            <w:hideMark/>
          </w:tcPr>
          <w:p w14:paraId="797F19A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-4.139</w:t>
            </w:r>
          </w:p>
        </w:tc>
        <w:tc>
          <w:tcPr>
            <w:tcW w:w="2551" w:type="dxa"/>
            <w:tcBorders>
              <w:top w:val="nil"/>
              <w:left w:val="nil"/>
              <w:bottom w:val="nil"/>
              <w:right w:val="nil"/>
            </w:tcBorders>
            <w:shd w:val="clear" w:color="auto" w:fill="auto"/>
            <w:noWrap/>
            <w:vAlign w:val="bottom"/>
            <w:hideMark/>
          </w:tcPr>
          <w:p w14:paraId="1C0842C3"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-4.581</w:t>
            </w:r>
          </w:p>
        </w:tc>
      </w:tr>
      <w:tr w:rsidR="006852E9" w:rsidRPr="00354E1E" w14:paraId="45FC0700" w14:textId="77777777" w:rsidTr="006852E9">
        <w:trPr>
          <w:trHeight w:val="255"/>
        </w:trPr>
        <w:tc>
          <w:tcPr>
            <w:tcW w:w="2552" w:type="dxa"/>
            <w:tcBorders>
              <w:top w:val="nil"/>
              <w:left w:val="nil"/>
              <w:bottom w:val="nil"/>
              <w:right w:val="nil"/>
            </w:tcBorders>
            <w:shd w:val="clear" w:color="auto" w:fill="auto"/>
            <w:noWrap/>
            <w:vAlign w:val="bottom"/>
            <w:hideMark/>
          </w:tcPr>
          <w:p w14:paraId="0BED7EF6"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312C6BF9"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[-0.604]</w:t>
            </w:r>
          </w:p>
        </w:tc>
        <w:tc>
          <w:tcPr>
            <w:tcW w:w="1985" w:type="dxa"/>
            <w:tcBorders>
              <w:top w:val="nil"/>
              <w:left w:val="nil"/>
              <w:bottom w:val="nil"/>
              <w:right w:val="nil"/>
            </w:tcBorders>
            <w:shd w:val="clear" w:color="auto" w:fill="auto"/>
            <w:noWrap/>
            <w:vAlign w:val="bottom"/>
            <w:hideMark/>
          </w:tcPr>
          <w:p w14:paraId="103709A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[-1.044]</w:t>
            </w:r>
          </w:p>
        </w:tc>
        <w:tc>
          <w:tcPr>
            <w:tcW w:w="2551" w:type="dxa"/>
            <w:tcBorders>
              <w:top w:val="nil"/>
              <w:left w:val="nil"/>
              <w:bottom w:val="nil"/>
              <w:right w:val="nil"/>
            </w:tcBorders>
            <w:shd w:val="clear" w:color="auto" w:fill="auto"/>
            <w:noWrap/>
            <w:vAlign w:val="bottom"/>
            <w:hideMark/>
          </w:tcPr>
          <w:p w14:paraId="2A7AD9A3"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[-1.282]</w:t>
            </w:r>
          </w:p>
        </w:tc>
      </w:tr>
      <w:tr w:rsidR="006852E9" w:rsidRPr="00354E1E" w14:paraId="73A0C541" w14:textId="77777777" w:rsidTr="006852E9">
        <w:trPr>
          <w:trHeight w:val="255"/>
        </w:trPr>
        <w:tc>
          <w:tcPr>
            <w:tcW w:w="2552" w:type="dxa"/>
            <w:tcBorders>
              <w:top w:val="nil"/>
              <w:left w:val="nil"/>
              <w:bottom w:val="nil"/>
              <w:right w:val="nil"/>
            </w:tcBorders>
            <w:shd w:val="clear" w:color="auto" w:fill="auto"/>
            <w:noWrap/>
            <w:vAlign w:val="bottom"/>
            <w:hideMark/>
          </w:tcPr>
          <w:p w14:paraId="70A55B18"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STD DEV RETURNS</w:t>
            </w:r>
          </w:p>
        </w:tc>
        <w:tc>
          <w:tcPr>
            <w:tcW w:w="2126" w:type="dxa"/>
            <w:tcBorders>
              <w:top w:val="nil"/>
              <w:left w:val="nil"/>
              <w:bottom w:val="nil"/>
              <w:right w:val="nil"/>
            </w:tcBorders>
            <w:shd w:val="clear" w:color="auto" w:fill="auto"/>
            <w:noWrap/>
            <w:vAlign w:val="bottom"/>
            <w:hideMark/>
          </w:tcPr>
          <w:p w14:paraId="12A4AE9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-49.630</w:t>
            </w:r>
          </w:p>
        </w:tc>
        <w:tc>
          <w:tcPr>
            <w:tcW w:w="1985" w:type="dxa"/>
            <w:tcBorders>
              <w:top w:val="nil"/>
              <w:left w:val="nil"/>
              <w:bottom w:val="nil"/>
              <w:right w:val="nil"/>
            </w:tcBorders>
            <w:shd w:val="clear" w:color="auto" w:fill="auto"/>
            <w:noWrap/>
            <w:vAlign w:val="bottom"/>
            <w:hideMark/>
          </w:tcPr>
          <w:p w14:paraId="52CAAEE5"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37.480</w:t>
            </w:r>
          </w:p>
        </w:tc>
        <w:tc>
          <w:tcPr>
            <w:tcW w:w="2551" w:type="dxa"/>
            <w:tcBorders>
              <w:top w:val="nil"/>
              <w:left w:val="nil"/>
              <w:bottom w:val="nil"/>
              <w:right w:val="nil"/>
            </w:tcBorders>
            <w:shd w:val="clear" w:color="auto" w:fill="auto"/>
            <w:noWrap/>
            <w:vAlign w:val="bottom"/>
            <w:hideMark/>
          </w:tcPr>
          <w:p w14:paraId="44A4717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-13.302</w:t>
            </w:r>
          </w:p>
        </w:tc>
      </w:tr>
      <w:tr w:rsidR="006852E9" w:rsidRPr="00354E1E" w14:paraId="70E5CDBE" w14:textId="77777777" w:rsidTr="006852E9">
        <w:trPr>
          <w:trHeight w:val="255"/>
        </w:trPr>
        <w:tc>
          <w:tcPr>
            <w:tcW w:w="2552" w:type="dxa"/>
            <w:tcBorders>
              <w:top w:val="nil"/>
              <w:left w:val="nil"/>
              <w:bottom w:val="nil"/>
              <w:right w:val="nil"/>
            </w:tcBorders>
            <w:shd w:val="clear" w:color="auto" w:fill="auto"/>
            <w:noWrap/>
            <w:vAlign w:val="bottom"/>
            <w:hideMark/>
          </w:tcPr>
          <w:p w14:paraId="79BC3A35"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4511FD2A"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[-1.344]</w:t>
            </w:r>
          </w:p>
        </w:tc>
        <w:tc>
          <w:tcPr>
            <w:tcW w:w="1985" w:type="dxa"/>
            <w:tcBorders>
              <w:top w:val="nil"/>
              <w:left w:val="nil"/>
              <w:bottom w:val="nil"/>
              <w:right w:val="nil"/>
            </w:tcBorders>
            <w:shd w:val="clear" w:color="auto" w:fill="auto"/>
            <w:noWrap/>
            <w:vAlign w:val="bottom"/>
            <w:hideMark/>
          </w:tcPr>
          <w:p w14:paraId="5E29FC1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[0.822]</w:t>
            </w:r>
          </w:p>
        </w:tc>
        <w:tc>
          <w:tcPr>
            <w:tcW w:w="2551" w:type="dxa"/>
            <w:tcBorders>
              <w:top w:val="nil"/>
              <w:left w:val="nil"/>
              <w:bottom w:val="nil"/>
              <w:right w:val="nil"/>
            </w:tcBorders>
            <w:shd w:val="clear" w:color="auto" w:fill="auto"/>
            <w:noWrap/>
            <w:vAlign w:val="bottom"/>
            <w:hideMark/>
          </w:tcPr>
          <w:p w14:paraId="0BB9C5C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[-0.328]</w:t>
            </w:r>
          </w:p>
        </w:tc>
      </w:tr>
      <w:tr w:rsidR="006852E9" w:rsidRPr="00354E1E" w14:paraId="3C8AEEFD" w14:textId="77777777" w:rsidTr="006852E9">
        <w:trPr>
          <w:trHeight w:val="255"/>
        </w:trPr>
        <w:tc>
          <w:tcPr>
            <w:tcW w:w="2552" w:type="dxa"/>
            <w:tcBorders>
              <w:top w:val="nil"/>
              <w:left w:val="nil"/>
              <w:bottom w:val="nil"/>
              <w:right w:val="nil"/>
            </w:tcBorders>
            <w:shd w:val="clear" w:color="auto" w:fill="auto"/>
            <w:noWrap/>
            <w:vAlign w:val="bottom"/>
            <w:hideMark/>
          </w:tcPr>
          <w:p w14:paraId="3B12D96D" w14:textId="77777777" w:rsidR="006852E9" w:rsidRPr="00354E1E" w:rsidRDefault="006852E9" w:rsidP="006852E9">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 INDEPENDENT DIRECTORS</w:t>
            </w:r>
          </w:p>
        </w:tc>
        <w:tc>
          <w:tcPr>
            <w:tcW w:w="2126" w:type="dxa"/>
            <w:tcBorders>
              <w:top w:val="nil"/>
              <w:left w:val="nil"/>
              <w:bottom w:val="nil"/>
              <w:right w:val="nil"/>
            </w:tcBorders>
            <w:shd w:val="clear" w:color="auto" w:fill="auto"/>
            <w:noWrap/>
            <w:vAlign w:val="bottom"/>
            <w:hideMark/>
          </w:tcPr>
          <w:p w14:paraId="5D2BF78C"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-21.312**</w:t>
            </w:r>
          </w:p>
        </w:tc>
        <w:tc>
          <w:tcPr>
            <w:tcW w:w="1985" w:type="dxa"/>
            <w:tcBorders>
              <w:top w:val="nil"/>
              <w:left w:val="nil"/>
              <w:bottom w:val="nil"/>
              <w:right w:val="nil"/>
            </w:tcBorders>
            <w:shd w:val="clear" w:color="auto" w:fill="auto"/>
            <w:noWrap/>
            <w:vAlign w:val="bottom"/>
            <w:hideMark/>
          </w:tcPr>
          <w:p w14:paraId="7AC4A49A"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-3.639</w:t>
            </w:r>
          </w:p>
        </w:tc>
        <w:tc>
          <w:tcPr>
            <w:tcW w:w="2551" w:type="dxa"/>
            <w:tcBorders>
              <w:top w:val="nil"/>
              <w:left w:val="nil"/>
              <w:bottom w:val="nil"/>
              <w:right w:val="nil"/>
            </w:tcBorders>
            <w:shd w:val="clear" w:color="auto" w:fill="auto"/>
            <w:noWrap/>
            <w:vAlign w:val="bottom"/>
            <w:hideMark/>
          </w:tcPr>
          <w:p w14:paraId="64EB939E"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-43.826***</w:t>
            </w:r>
          </w:p>
        </w:tc>
      </w:tr>
      <w:tr w:rsidR="006852E9" w:rsidRPr="00354E1E" w14:paraId="2F63EC8B" w14:textId="77777777" w:rsidTr="006852E9">
        <w:trPr>
          <w:trHeight w:val="255"/>
        </w:trPr>
        <w:tc>
          <w:tcPr>
            <w:tcW w:w="2552" w:type="dxa"/>
            <w:tcBorders>
              <w:top w:val="nil"/>
              <w:left w:val="nil"/>
              <w:bottom w:val="nil"/>
              <w:right w:val="nil"/>
            </w:tcBorders>
            <w:shd w:val="clear" w:color="auto" w:fill="auto"/>
            <w:noWrap/>
            <w:vAlign w:val="bottom"/>
            <w:hideMark/>
          </w:tcPr>
          <w:p w14:paraId="38FF2A8A"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300FC6A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[-2.233]</w:t>
            </w:r>
          </w:p>
        </w:tc>
        <w:tc>
          <w:tcPr>
            <w:tcW w:w="1985" w:type="dxa"/>
            <w:tcBorders>
              <w:top w:val="nil"/>
              <w:left w:val="nil"/>
              <w:bottom w:val="nil"/>
              <w:right w:val="nil"/>
            </w:tcBorders>
            <w:shd w:val="clear" w:color="auto" w:fill="auto"/>
            <w:noWrap/>
            <w:vAlign w:val="bottom"/>
            <w:hideMark/>
          </w:tcPr>
          <w:p w14:paraId="6845ACD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[-0.309]</w:t>
            </w:r>
          </w:p>
        </w:tc>
        <w:tc>
          <w:tcPr>
            <w:tcW w:w="2551" w:type="dxa"/>
            <w:tcBorders>
              <w:top w:val="nil"/>
              <w:left w:val="nil"/>
              <w:bottom w:val="nil"/>
              <w:right w:val="nil"/>
            </w:tcBorders>
            <w:shd w:val="clear" w:color="auto" w:fill="auto"/>
            <w:noWrap/>
            <w:vAlign w:val="bottom"/>
            <w:hideMark/>
          </w:tcPr>
          <w:p w14:paraId="5403C330"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[-4.172]</w:t>
            </w:r>
          </w:p>
        </w:tc>
      </w:tr>
      <w:tr w:rsidR="006852E9" w:rsidRPr="00354E1E" w14:paraId="28FC79EC" w14:textId="77777777" w:rsidTr="006852E9">
        <w:trPr>
          <w:trHeight w:val="255"/>
        </w:trPr>
        <w:tc>
          <w:tcPr>
            <w:tcW w:w="2552" w:type="dxa"/>
            <w:tcBorders>
              <w:top w:val="nil"/>
              <w:left w:val="nil"/>
              <w:bottom w:val="nil"/>
              <w:right w:val="nil"/>
            </w:tcBorders>
            <w:shd w:val="clear" w:color="auto" w:fill="auto"/>
            <w:noWrap/>
            <w:vAlign w:val="bottom"/>
            <w:hideMark/>
          </w:tcPr>
          <w:p w14:paraId="27765DC0" w14:textId="77777777" w:rsidR="006852E9" w:rsidRPr="00354E1E" w:rsidRDefault="006852E9" w:rsidP="006852E9">
            <w:pPr>
              <w:jc w:val="center"/>
              <w:rPr>
                <w:rFonts w:ascii="Times New Roman" w:eastAsia="Times New Roman" w:hAnsi="Times New Roman" w:cs="Times New Roman"/>
                <w:color w:val="000000"/>
                <w:sz w:val="20"/>
                <w:szCs w:val="20"/>
              </w:rPr>
            </w:pPr>
          </w:p>
        </w:tc>
        <w:tc>
          <w:tcPr>
            <w:tcW w:w="2126" w:type="dxa"/>
            <w:tcBorders>
              <w:top w:val="nil"/>
              <w:left w:val="nil"/>
              <w:bottom w:val="nil"/>
              <w:right w:val="nil"/>
            </w:tcBorders>
            <w:shd w:val="clear" w:color="auto" w:fill="auto"/>
            <w:noWrap/>
            <w:vAlign w:val="bottom"/>
            <w:hideMark/>
          </w:tcPr>
          <w:p w14:paraId="02F74CA5" w14:textId="77777777" w:rsidR="006852E9" w:rsidRPr="00354E1E" w:rsidRDefault="006852E9" w:rsidP="006852E9">
            <w:pPr>
              <w:rPr>
                <w:rFonts w:ascii="Times New Roman" w:eastAsia="Times New Roman" w:hAnsi="Times New Roman" w:cs="Times New Roman"/>
                <w:sz w:val="20"/>
                <w:szCs w:val="20"/>
              </w:rPr>
            </w:pPr>
          </w:p>
        </w:tc>
        <w:tc>
          <w:tcPr>
            <w:tcW w:w="1985" w:type="dxa"/>
            <w:tcBorders>
              <w:top w:val="nil"/>
              <w:left w:val="nil"/>
              <w:bottom w:val="nil"/>
              <w:right w:val="nil"/>
            </w:tcBorders>
            <w:shd w:val="clear" w:color="auto" w:fill="auto"/>
            <w:noWrap/>
            <w:vAlign w:val="bottom"/>
            <w:hideMark/>
          </w:tcPr>
          <w:p w14:paraId="64440AC4" w14:textId="77777777" w:rsidR="006852E9" w:rsidRPr="00354E1E" w:rsidRDefault="006852E9" w:rsidP="006852E9">
            <w:pPr>
              <w:jc w:val="center"/>
              <w:rPr>
                <w:rFonts w:ascii="Times New Roman" w:eastAsia="Times New Roman" w:hAnsi="Times New Roman" w:cs="Times New Roman"/>
                <w:sz w:val="20"/>
                <w:szCs w:val="20"/>
              </w:rPr>
            </w:pPr>
          </w:p>
        </w:tc>
        <w:tc>
          <w:tcPr>
            <w:tcW w:w="2551" w:type="dxa"/>
            <w:tcBorders>
              <w:top w:val="nil"/>
              <w:left w:val="nil"/>
              <w:bottom w:val="nil"/>
              <w:right w:val="nil"/>
            </w:tcBorders>
            <w:shd w:val="clear" w:color="auto" w:fill="auto"/>
            <w:noWrap/>
            <w:vAlign w:val="bottom"/>
            <w:hideMark/>
          </w:tcPr>
          <w:p w14:paraId="215DDD38" w14:textId="77777777" w:rsidR="006852E9" w:rsidRPr="00354E1E" w:rsidRDefault="006852E9" w:rsidP="006852E9">
            <w:pPr>
              <w:jc w:val="center"/>
              <w:rPr>
                <w:rFonts w:ascii="Times New Roman" w:eastAsia="Times New Roman" w:hAnsi="Times New Roman" w:cs="Times New Roman"/>
                <w:sz w:val="20"/>
                <w:szCs w:val="20"/>
              </w:rPr>
            </w:pPr>
          </w:p>
        </w:tc>
      </w:tr>
      <w:tr w:rsidR="006852E9" w:rsidRPr="00354E1E" w14:paraId="04AC3CF3" w14:textId="77777777" w:rsidTr="006852E9">
        <w:trPr>
          <w:trHeight w:val="255"/>
        </w:trPr>
        <w:tc>
          <w:tcPr>
            <w:tcW w:w="2552" w:type="dxa"/>
            <w:tcBorders>
              <w:top w:val="nil"/>
              <w:left w:val="nil"/>
              <w:bottom w:val="nil"/>
              <w:right w:val="nil"/>
            </w:tcBorders>
            <w:shd w:val="clear" w:color="auto" w:fill="auto"/>
            <w:noWrap/>
            <w:vAlign w:val="bottom"/>
            <w:hideMark/>
          </w:tcPr>
          <w:p w14:paraId="78DE1EA2" w14:textId="77777777" w:rsidR="006852E9" w:rsidRPr="00354E1E" w:rsidRDefault="006852E9" w:rsidP="006852E9">
            <w:pP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Year FE</w:t>
            </w:r>
          </w:p>
        </w:tc>
        <w:tc>
          <w:tcPr>
            <w:tcW w:w="2126" w:type="dxa"/>
            <w:tcBorders>
              <w:top w:val="nil"/>
              <w:left w:val="nil"/>
              <w:bottom w:val="nil"/>
              <w:right w:val="nil"/>
            </w:tcBorders>
            <w:shd w:val="clear" w:color="auto" w:fill="auto"/>
            <w:noWrap/>
            <w:vAlign w:val="bottom"/>
            <w:hideMark/>
          </w:tcPr>
          <w:p w14:paraId="7C4A2D20"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YES</w:t>
            </w:r>
          </w:p>
        </w:tc>
        <w:tc>
          <w:tcPr>
            <w:tcW w:w="1985" w:type="dxa"/>
            <w:tcBorders>
              <w:top w:val="nil"/>
              <w:left w:val="nil"/>
              <w:bottom w:val="nil"/>
              <w:right w:val="nil"/>
            </w:tcBorders>
            <w:shd w:val="clear" w:color="auto" w:fill="auto"/>
            <w:noWrap/>
            <w:vAlign w:val="bottom"/>
            <w:hideMark/>
          </w:tcPr>
          <w:p w14:paraId="44B223A1"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YES</w:t>
            </w:r>
          </w:p>
        </w:tc>
        <w:tc>
          <w:tcPr>
            <w:tcW w:w="2551" w:type="dxa"/>
            <w:tcBorders>
              <w:top w:val="nil"/>
              <w:left w:val="nil"/>
              <w:bottom w:val="nil"/>
              <w:right w:val="nil"/>
            </w:tcBorders>
            <w:shd w:val="clear" w:color="auto" w:fill="auto"/>
            <w:noWrap/>
            <w:vAlign w:val="bottom"/>
            <w:hideMark/>
          </w:tcPr>
          <w:p w14:paraId="010DACD6"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YES</w:t>
            </w:r>
          </w:p>
        </w:tc>
      </w:tr>
      <w:tr w:rsidR="006852E9" w:rsidRPr="00354E1E" w14:paraId="4D18BB65" w14:textId="77777777" w:rsidTr="006852E9">
        <w:trPr>
          <w:trHeight w:val="80"/>
        </w:trPr>
        <w:tc>
          <w:tcPr>
            <w:tcW w:w="2552" w:type="dxa"/>
            <w:tcBorders>
              <w:top w:val="nil"/>
              <w:left w:val="nil"/>
              <w:bottom w:val="single" w:sz="4" w:space="0" w:color="auto"/>
              <w:right w:val="nil"/>
            </w:tcBorders>
            <w:shd w:val="clear" w:color="auto" w:fill="auto"/>
            <w:noWrap/>
            <w:vAlign w:val="bottom"/>
            <w:hideMark/>
          </w:tcPr>
          <w:p w14:paraId="022B0CA8" w14:textId="77777777" w:rsidR="006852E9" w:rsidRPr="00354E1E" w:rsidRDefault="006852E9" w:rsidP="006852E9">
            <w:pP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Observations</w:t>
            </w:r>
          </w:p>
        </w:tc>
        <w:tc>
          <w:tcPr>
            <w:tcW w:w="2126" w:type="dxa"/>
            <w:tcBorders>
              <w:top w:val="nil"/>
              <w:left w:val="nil"/>
              <w:bottom w:val="single" w:sz="4" w:space="0" w:color="auto"/>
              <w:right w:val="nil"/>
            </w:tcBorders>
            <w:shd w:val="clear" w:color="auto" w:fill="auto"/>
            <w:noWrap/>
            <w:vAlign w:val="bottom"/>
            <w:hideMark/>
          </w:tcPr>
          <w:p w14:paraId="48914BA4"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346</w:t>
            </w:r>
          </w:p>
        </w:tc>
        <w:tc>
          <w:tcPr>
            <w:tcW w:w="1985" w:type="dxa"/>
            <w:tcBorders>
              <w:top w:val="nil"/>
              <w:left w:val="nil"/>
              <w:bottom w:val="single" w:sz="4" w:space="0" w:color="auto"/>
              <w:right w:val="nil"/>
            </w:tcBorders>
            <w:shd w:val="clear" w:color="auto" w:fill="auto"/>
            <w:noWrap/>
            <w:vAlign w:val="bottom"/>
            <w:hideMark/>
          </w:tcPr>
          <w:p w14:paraId="090FBEC8"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354</w:t>
            </w:r>
          </w:p>
        </w:tc>
        <w:tc>
          <w:tcPr>
            <w:tcW w:w="2551" w:type="dxa"/>
            <w:tcBorders>
              <w:top w:val="nil"/>
              <w:left w:val="nil"/>
              <w:bottom w:val="single" w:sz="4" w:space="0" w:color="auto"/>
              <w:right w:val="nil"/>
            </w:tcBorders>
            <w:shd w:val="clear" w:color="auto" w:fill="auto"/>
            <w:noWrap/>
            <w:vAlign w:val="bottom"/>
            <w:hideMark/>
          </w:tcPr>
          <w:p w14:paraId="3C16ADDD" w14:textId="77777777" w:rsidR="006852E9" w:rsidRPr="00354E1E" w:rsidRDefault="006852E9" w:rsidP="006852E9">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346</w:t>
            </w:r>
          </w:p>
        </w:tc>
      </w:tr>
    </w:tbl>
    <w:p w14:paraId="358F8C27" w14:textId="23913CA9" w:rsidR="00354E1E" w:rsidRDefault="00354E1E" w:rsidP="00E60E8A">
      <w:pPr>
        <w:spacing w:line="480" w:lineRule="auto"/>
        <w:jc w:val="both"/>
        <w:rPr>
          <w:sz w:val="24"/>
        </w:rPr>
      </w:pPr>
    </w:p>
    <w:p w14:paraId="15D0F5F1" w14:textId="0C77CA2A" w:rsidR="00354E1E" w:rsidRDefault="00354E1E">
      <w:pPr>
        <w:jc w:val="both"/>
        <w:rPr>
          <w:sz w:val="24"/>
        </w:rPr>
      </w:pPr>
      <w:r>
        <w:rPr>
          <w:sz w:val="24"/>
        </w:rPr>
        <w:br w:type="page"/>
      </w:r>
    </w:p>
    <w:p w14:paraId="623229E2" w14:textId="580F14C3" w:rsidR="00405C5A" w:rsidRPr="00405C5A" w:rsidRDefault="00405C5A" w:rsidP="00405C5A">
      <w:pPr>
        <w:spacing w:line="480" w:lineRule="auto"/>
        <w:jc w:val="both"/>
        <w:rPr>
          <w:b/>
          <w:sz w:val="24"/>
        </w:rPr>
      </w:pPr>
      <w:r w:rsidRPr="00405C5A">
        <w:rPr>
          <w:b/>
          <w:sz w:val="24"/>
        </w:rPr>
        <w:lastRenderedPageBreak/>
        <w:t xml:space="preserve">Table </w:t>
      </w:r>
      <w:r>
        <w:rPr>
          <w:b/>
          <w:sz w:val="24"/>
        </w:rPr>
        <w:t>4</w:t>
      </w:r>
      <w:r w:rsidRPr="00405C5A">
        <w:rPr>
          <w:b/>
          <w:sz w:val="24"/>
        </w:rPr>
        <w:t xml:space="preserve"> Disclosure and Investor Support of Resolutions</w:t>
      </w:r>
    </w:p>
    <w:p w14:paraId="75B4FD17" w14:textId="7CC9205D" w:rsidR="003D0D82" w:rsidRDefault="003D0D82" w:rsidP="003D0D82">
      <w:pPr>
        <w:jc w:val="both"/>
        <w:rPr>
          <w:sz w:val="20"/>
          <w:szCs w:val="20"/>
        </w:rPr>
      </w:pPr>
      <w:r>
        <w:rPr>
          <w:sz w:val="20"/>
          <w:szCs w:val="20"/>
        </w:rPr>
        <w:t>This table reports the results from Tobit regressions of investors</w:t>
      </w:r>
      <w:r w:rsidR="00E3638B">
        <w:rPr>
          <w:sz w:val="20"/>
          <w:szCs w:val="20"/>
        </w:rPr>
        <w:t>’</w:t>
      </w:r>
      <w:r>
        <w:rPr>
          <w:sz w:val="20"/>
          <w:szCs w:val="20"/>
        </w:rPr>
        <w:t xml:space="preserve"> voting on measures of information disclosure of proposed RPTs. The unit of observation is a RPT resolution which requires approval by disinterested shareholders. Dependent variables are the percentage of shareholders who vote</w:t>
      </w:r>
      <w:r w:rsidR="00E3638B">
        <w:rPr>
          <w:sz w:val="20"/>
          <w:szCs w:val="20"/>
        </w:rPr>
        <w:t xml:space="preserve"> in favour of</w:t>
      </w:r>
      <w:r>
        <w:rPr>
          <w:sz w:val="20"/>
          <w:szCs w:val="20"/>
        </w:rPr>
        <w:t xml:space="preserve"> the RPT resolution. Variables are defined in Appendix B. ***, ** and * indicate the estimated coefficients are statistically significant at 1%, 5% and 10% level, respectively, based on two-tailed tests. </w:t>
      </w:r>
    </w:p>
    <w:p w14:paraId="397DB07F" w14:textId="77777777" w:rsidR="00405C5A" w:rsidRDefault="00405C5A" w:rsidP="00E3638B">
      <w:pPr>
        <w:jc w:val="both"/>
        <w:rPr>
          <w:sz w:val="24"/>
        </w:rPr>
      </w:pPr>
    </w:p>
    <w:tbl>
      <w:tblPr>
        <w:tblW w:w="8931" w:type="dxa"/>
        <w:tblLook w:val="04A0" w:firstRow="1" w:lastRow="0" w:firstColumn="1" w:lastColumn="0" w:noHBand="0" w:noVBand="1"/>
      </w:tblPr>
      <w:tblGrid>
        <w:gridCol w:w="3119"/>
        <w:gridCol w:w="1871"/>
        <w:gridCol w:w="2098"/>
        <w:gridCol w:w="1843"/>
      </w:tblGrid>
      <w:tr w:rsidR="00E3638B" w:rsidRPr="00354E1E" w14:paraId="2E960799" w14:textId="77777777" w:rsidTr="00E3638B">
        <w:trPr>
          <w:trHeight w:val="255"/>
        </w:trPr>
        <w:tc>
          <w:tcPr>
            <w:tcW w:w="3119" w:type="dxa"/>
            <w:tcBorders>
              <w:top w:val="single" w:sz="4" w:space="0" w:color="auto"/>
              <w:left w:val="nil"/>
              <w:right w:val="nil"/>
            </w:tcBorders>
            <w:shd w:val="clear" w:color="auto" w:fill="auto"/>
            <w:noWrap/>
            <w:vAlign w:val="bottom"/>
          </w:tcPr>
          <w:p w14:paraId="0AA1F9D7" w14:textId="77777777" w:rsidR="00E3638B" w:rsidRPr="00354E1E" w:rsidRDefault="00E3638B" w:rsidP="00E3638B">
            <w:pPr>
              <w:rPr>
                <w:rFonts w:ascii="Times New Roman" w:eastAsia="Times New Roman" w:hAnsi="Times New Roman" w:cs="Times New Roman"/>
                <w:color w:val="000000"/>
                <w:sz w:val="18"/>
                <w:szCs w:val="18"/>
              </w:rPr>
            </w:pPr>
          </w:p>
        </w:tc>
        <w:tc>
          <w:tcPr>
            <w:tcW w:w="1871" w:type="dxa"/>
            <w:tcBorders>
              <w:top w:val="single" w:sz="4" w:space="0" w:color="auto"/>
              <w:left w:val="nil"/>
              <w:right w:val="nil"/>
            </w:tcBorders>
            <w:shd w:val="clear" w:color="auto" w:fill="auto"/>
            <w:noWrap/>
            <w:vAlign w:val="bottom"/>
          </w:tcPr>
          <w:p w14:paraId="02FA5293" w14:textId="2CA917B1"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i/>
                <w:iCs/>
                <w:color w:val="000000"/>
                <w:sz w:val="18"/>
                <w:szCs w:val="18"/>
              </w:rPr>
              <w:t>% INVESTORS IN FAVOUR</w:t>
            </w:r>
          </w:p>
        </w:tc>
        <w:tc>
          <w:tcPr>
            <w:tcW w:w="2098" w:type="dxa"/>
            <w:tcBorders>
              <w:top w:val="single" w:sz="4" w:space="0" w:color="auto"/>
              <w:left w:val="nil"/>
              <w:right w:val="nil"/>
            </w:tcBorders>
            <w:shd w:val="clear" w:color="auto" w:fill="auto"/>
            <w:noWrap/>
            <w:vAlign w:val="bottom"/>
          </w:tcPr>
          <w:p w14:paraId="583E7DFC" w14:textId="7AFB45F6"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i/>
                <w:iCs/>
                <w:color w:val="000000"/>
                <w:sz w:val="18"/>
                <w:szCs w:val="18"/>
              </w:rPr>
              <w:t xml:space="preserve">% </w:t>
            </w:r>
            <w:r>
              <w:rPr>
                <w:rFonts w:ascii="Times New Roman" w:eastAsia="Times New Roman" w:hAnsi="Times New Roman" w:cs="Times New Roman"/>
                <w:b/>
                <w:bCs/>
                <w:i/>
                <w:iCs/>
                <w:color w:val="000000"/>
                <w:sz w:val="18"/>
                <w:szCs w:val="18"/>
              </w:rPr>
              <w:t xml:space="preserve">RETAIL </w:t>
            </w:r>
            <w:r w:rsidRPr="00354E1E">
              <w:rPr>
                <w:rFonts w:ascii="Times New Roman" w:eastAsia="Times New Roman" w:hAnsi="Times New Roman" w:cs="Times New Roman"/>
                <w:b/>
                <w:bCs/>
                <w:i/>
                <w:iCs/>
                <w:color w:val="000000"/>
                <w:sz w:val="18"/>
                <w:szCs w:val="18"/>
              </w:rPr>
              <w:t>INVESTORS IN FAVOUR</w:t>
            </w:r>
          </w:p>
        </w:tc>
        <w:tc>
          <w:tcPr>
            <w:tcW w:w="1843" w:type="dxa"/>
            <w:tcBorders>
              <w:top w:val="single" w:sz="4" w:space="0" w:color="auto"/>
              <w:left w:val="nil"/>
              <w:right w:val="nil"/>
            </w:tcBorders>
            <w:shd w:val="clear" w:color="auto" w:fill="auto"/>
            <w:noWrap/>
            <w:vAlign w:val="bottom"/>
          </w:tcPr>
          <w:p w14:paraId="7074094F" w14:textId="15B371AD"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i/>
                <w:iCs/>
                <w:color w:val="000000"/>
                <w:sz w:val="18"/>
                <w:szCs w:val="18"/>
              </w:rPr>
              <w:t xml:space="preserve">% </w:t>
            </w:r>
            <w:r>
              <w:rPr>
                <w:rFonts w:ascii="Times New Roman" w:eastAsia="Times New Roman" w:hAnsi="Times New Roman" w:cs="Times New Roman"/>
                <w:b/>
                <w:bCs/>
                <w:i/>
                <w:iCs/>
                <w:color w:val="000000"/>
                <w:sz w:val="18"/>
                <w:szCs w:val="18"/>
              </w:rPr>
              <w:t xml:space="preserve">INSTITUTIOAL </w:t>
            </w:r>
            <w:r w:rsidRPr="00354E1E">
              <w:rPr>
                <w:rFonts w:ascii="Times New Roman" w:eastAsia="Times New Roman" w:hAnsi="Times New Roman" w:cs="Times New Roman"/>
                <w:b/>
                <w:bCs/>
                <w:i/>
                <w:iCs/>
                <w:color w:val="000000"/>
                <w:sz w:val="18"/>
                <w:szCs w:val="18"/>
              </w:rPr>
              <w:t>INVESTORS IN FAVOUR</w:t>
            </w:r>
          </w:p>
        </w:tc>
      </w:tr>
      <w:tr w:rsidR="00E3638B" w:rsidRPr="00354E1E" w14:paraId="34929A37" w14:textId="77777777" w:rsidTr="00E3638B">
        <w:trPr>
          <w:trHeight w:val="255"/>
        </w:trPr>
        <w:tc>
          <w:tcPr>
            <w:tcW w:w="3119" w:type="dxa"/>
            <w:tcBorders>
              <w:left w:val="nil"/>
              <w:bottom w:val="single" w:sz="4" w:space="0" w:color="auto"/>
              <w:right w:val="nil"/>
            </w:tcBorders>
            <w:shd w:val="clear" w:color="auto" w:fill="auto"/>
            <w:noWrap/>
            <w:vAlign w:val="bottom"/>
            <w:hideMark/>
          </w:tcPr>
          <w:p w14:paraId="4CAE41A3" w14:textId="77777777" w:rsidR="00E3638B" w:rsidRPr="00354E1E" w:rsidRDefault="00E3638B" w:rsidP="00E3638B">
            <w:pP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 </w:t>
            </w:r>
          </w:p>
        </w:tc>
        <w:tc>
          <w:tcPr>
            <w:tcW w:w="1871" w:type="dxa"/>
            <w:tcBorders>
              <w:left w:val="nil"/>
              <w:bottom w:val="single" w:sz="4" w:space="0" w:color="auto"/>
              <w:right w:val="nil"/>
            </w:tcBorders>
            <w:shd w:val="clear" w:color="auto" w:fill="auto"/>
            <w:noWrap/>
            <w:vAlign w:val="bottom"/>
            <w:hideMark/>
          </w:tcPr>
          <w:p w14:paraId="5418E7E0" w14:textId="77777777"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color w:val="000000"/>
                <w:sz w:val="18"/>
                <w:szCs w:val="18"/>
              </w:rPr>
              <w:t>(1)</w:t>
            </w:r>
          </w:p>
        </w:tc>
        <w:tc>
          <w:tcPr>
            <w:tcW w:w="2098" w:type="dxa"/>
            <w:tcBorders>
              <w:left w:val="nil"/>
              <w:bottom w:val="single" w:sz="4" w:space="0" w:color="auto"/>
              <w:right w:val="nil"/>
            </w:tcBorders>
            <w:shd w:val="clear" w:color="auto" w:fill="auto"/>
            <w:noWrap/>
            <w:vAlign w:val="bottom"/>
            <w:hideMark/>
          </w:tcPr>
          <w:p w14:paraId="5A845829" w14:textId="77777777"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color w:val="000000"/>
                <w:sz w:val="18"/>
                <w:szCs w:val="18"/>
              </w:rPr>
              <w:t>(2)</w:t>
            </w:r>
          </w:p>
        </w:tc>
        <w:tc>
          <w:tcPr>
            <w:tcW w:w="1843" w:type="dxa"/>
            <w:tcBorders>
              <w:left w:val="nil"/>
              <w:bottom w:val="single" w:sz="4" w:space="0" w:color="auto"/>
              <w:right w:val="nil"/>
            </w:tcBorders>
            <w:shd w:val="clear" w:color="auto" w:fill="auto"/>
            <w:noWrap/>
            <w:vAlign w:val="bottom"/>
            <w:hideMark/>
          </w:tcPr>
          <w:p w14:paraId="22370A4B" w14:textId="77777777" w:rsidR="00E3638B" w:rsidRPr="00354E1E" w:rsidRDefault="00E3638B" w:rsidP="00E3638B">
            <w:pPr>
              <w:jc w:val="center"/>
              <w:rPr>
                <w:rFonts w:ascii="Times New Roman" w:eastAsia="Times New Roman" w:hAnsi="Times New Roman" w:cs="Times New Roman"/>
                <w:b/>
                <w:bCs/>
                <w:color w:val="000000"/>
                <w:sz w:val="18"/>
                <w:szCs w:val="18"/>
              </w:rPr>
            </w:pPr>
            <w:r w:rsidRPr="00354E1E">
              <w:rPr>
                <w:rFonts w:ascii="Times New Roman" w:eastAsia="Times New Roman" w:hAnsi="Times New Roman" w:cs="Times New Roman"/>
                <w:b/>
                <w:bCs/>
                <w:color w:val="000000"/>
                <w:sz w:val="18"/>
                <w:szCs w:val="18"/>
              </w:rPr>
              <w:t>(3)</w:t>
            </w:r>
          </w:p>
        </w:tc>
      </w:tr>
      <w:tr w:rsidR="00E3638B" w:rsidRPr="00354E1E" w14:paraId="15C712AF" w14:textId="77777777" w:rsidTr="00E3638B">
        <w:trPr>
          <w:trHeight w:val="255"/>
        </w:trPr>
        <w:tc>
          <w:tcPr>
            <w:tcW w:w="3119" w:type="dxa"/>
            <w:tcBorders>
              <w:top w:val="single" w:sz="4" w:space="0" w:color="auto"/>
              <w:left w:val="nil"/>
              <w:bottom w:val="nil"/>
              <w:right w:val="nil"/>
            </w:tcBorders>
            <w:shd w:val="clear" w:color="auto" w:fill="auto"/>
            <w:noWrap/>
            <w:vAlign w:val="bottom"/>
            <w:hideMark/>
          </w:tcPr>
          <w:p w14:paraId="773307F1" w14:textId="77777777" w:rsidR="00E3638B" w:rsidRPr="00354E1E" w:rsidRDefault="00E3638B" w:rsidP="00E3638B">
            <w:pP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 </w:t>
            </w:r>
          </w:p>
        </w:tc>
        <w:tc>
          <w:tcPr>
            <w:tcW w:w="1871" w:type="dxa"/>
            <w:tcBorders>
              <w:top w:val="single" w:sz="4" w:space="0" w:color="auto"/>
              <w:left w:val="nil"/>
              <w:bottom w:val="nil"/>
              <w:right w:val="nil"/>
            </w:tcBorders>
            <w:shd w:val="clear" w:color="auto" w:fill="auto"/>
            <w:noWrap/>
            <w:vAlign w:val="bottom"/>
            <w:hideMark/>
          </w:tcPr>
          <w:p w14:paraId="7BC4B231"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 </w:t>
            </w:r>
          </w:p>
        </w:tc>
        <w:tc>
          <w:tcPr>
            <w:tcW w:w="2098" w:type="dxa"/>
            <w:tcBorders>
              <w:top w:val="single" w:sz="4" w:space="0" w:color="auto"/>
              <w:left w:val="nil"/>
              <w:bottom w:val="nil"/>
              <w:right w:val="nil"/>
            </w:tcBorders>
            <w:shd w:val="clear" w:color="auto" w:fill="auto"/>
            <w:noWrap/>
            <w:vAlign w:val="bottom"/>
            <w:hideMark/>
          </w:tcPr>
          <w:p w14:paraId="43F4F591"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 </w:t>
            </w:r>
          </w:p>
        </w:tc>
        <w:tc>
          <w:tcPr>
            <w:tcW w:w="1843" w:type="dxa"/>
            <w:tcBorders>
              <w:top w:val="single" w:sz="4" w:space="0" w:color="auto"/>
              <w:left w:val="nil"/>
              <w:bottom w:val="nil"/>
              <w:right w:val="nil"/>
            </w:tcBorders>
            <w:shd w:val="clear" w:color="auto" w:fill="auto"/>
            <w:noWrap/>
            <w:vAlign w:val="bottom"/>
            <w:hideMark/>
          </w:tcPr>
          <w:p w14:paraId="277D8794"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 </w:t>
            </w:r>
          </w:p>
        </w:tc>
      </w:tr>
      <w:tr w:rsidR="00E3638B" w:rsidRPr="00354E1E" w14:paraId="01124569" w14:textId="77777777" w:rsidTr="00E3638B">
        <w:trPr>
          <w:trHeight w:val="300"/>
        </w:trPr>
        <w:tc>
          <w:tcPr>
            <w:tcW w:w="3119" w:type="dxa"/>
            <w:tcBorders>
              <w:top w:val="nil"/>
              <w:left w:val="nil"/>
              <w:bottom w:val="nil"/>
              <w:right w:val="nil"/>
            </w:tcBorders>
            <w:shd w:val="clear" w:color="auto" w:fill="auto"/>
            <w:noWrap/>
            <w:vAlign w:val="bottom"/>
            <w:hideMark/>
          </w:tcPr>
          <w:p w14:paraId="112475DB"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FOG</w:t>
            </w:r>
          </w:p>
        </w:tc>
        <w:tc>
          <w:tcPr>
            <w:tcW w:w="1871" w:type="dxa"/>
            <w:tcBorders>
              <w:top w:val="nil"/>
              <w:left w:val="nil"/>
              <w:bottom w:val="nil"/>
              <w:right w:val="nil"/>
            </w:tcBorders>
            <w:shd w:val="clear" w:color="auto" w:fill="auto"/>
            <w:noWrap/>
            <w:vAlign w:val="bottom"/>
            <w:hideMark/>
          </w:tcPr>
          <w:p w14:paraId="3ECA0177"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0.065</w:t>
            </w:r>
          </w:p>
        </w:tc>
        <w:tc>
          <w:tcPr>
            <w:tcW w:w="2098" w:type="dxa"/>
            <w:tcBorders>
              <w:top w:val="nil"/>
              <w:left w:val="nil"/>
              <w:bottom w:val="nil"/>
              <w:right w:val="nil"/>
            </w:tcBorders>
            <w:shd w:val="clear" w:color="auto" w:fill="auto"/>
            <w:noWrap/>
            <w:vAlign w:val="bottom"/>
            <w:hideMark/>
          </w:tcPr>
          <w:p w14:paraId="66A700D4"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-0.036</w:t>
            </w:r>
          </w:p>
        </w:tc>
        <w:tc>
          <w:tcPr>
            <w:tcW w:w="1843" w:type="dxa"/>
            <w:tcBorders>
              <w:top w:val="nil"/>
              <w:left w:val="nil"/>
              <w:bottom w:val="nil"/>
              <w:right w:val="nil"/>
            </w:tcBorders>
            <w:shd w:val="clear" w:color="auto" w:fill="auto"/>
            <w:noWrap/>
            <w:vAlign w:val="bottom"/>
            <w:hideMark/>
          </w:tcPr>
          <w:p w14:paraId="2FD7B39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0.123</w:t>
            </w:r>
          </w:p>
        </w:tc>
      </w:tr>
      <w:tr w:rsidR="00E3638B" w:rsidRPr="00354E1E" w14:paraId="616854A4" w14:textId="77777777" w:rsidTr="00E3638B">
        <w:trPr>
          <w:trHeight w:val="300"/>
        </w:trPr>
        <w:tc>
          <w:tcPr>
            <w:tcW w:w="3119" w:type="dxa"/>
            <w:tcBorders>
              <w:top w:val="nil"/>
              <w:left w:val="nil"/>
              <w:bottom w:val="nil"/>
              <w:right w:val="nil"/>
            </w:tcBorders>
            <w:shd w:val="clear" w:color="auto" w:fill="auto"/>
            <w:noWrap/>
            <w:vAlign w:val="bottom"/>
            <w:hideMark/>
          </w:tcPr>
          <w:p w14:paraId="34FD898A"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7D92360B"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[1.639]</w:t>
            </w:r>
          </w:p>
        </w:tc>
        <w:tc>
          <w:tcPr>
            <w:tcW w:w="2098" w:type="dxa"/>
            <w:tcBorders>
              <w:top w:val="nil"/>
              <w:left w:val="nil"/>
              <w:bottom w:val="nil"/>
              <w:right w:val="nil"/>
            </w:tcBorders>
            <w:shd w:val="clear" w:color="auto" w:fill="auto"/>
            <w:noWrap/>
            <w:vAlign w:val="bottom"/>
            <w:hideMark/>
          </w:tcPr>
          <w:p w14:paraId="6D303134"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[-0.900]</w:t>
            </w:r>
          </w:p>
        </w:tc>
        <w:tc>
          <w:tcPr>
            <w:tcW w:w="1843" w:type="dxa"/>
            <w:tcBorders>
              <w:top w:val="nil"/>
              <w:left w:val="nil"/>
              <w:bottom w:val="nil"/>
              <w:right w:val="nil"/>
            </w:tcBorders>
            <w:shd w:val="clear" w:color="auto" w:fill="auto"/>
            <w:noWrap/>
            <w:vAlign w:val="bottom"/>
            <w:hideMark/>
          </w:tcPr>
          <w:p w14:paraId="6CDC7B05"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[1.223]</w:t>
            </w:r>
          </w:p>
        </w:tc>
      </w:tr>
      <w:tr w:rsidR="00E3638B" w:rsidRPr="00354E1E" w14:paraId="4D8A14DE" w14:textId="77777777" w:rsidTr="00E3638B">
        <w:trPr>
          <w:trHeight w:val="300"/>
        </w:trPr>
        <w:tc>
          <w:tcPr>
            <w:tcW w:w="3119" w:type="dxa"/>
            <w:tcBorders>
              <w:top w:val="nil"/>
              <w:left w:val="nil"/>
              <w:bottom w:val="nil"/>
              <w:right w:val="nil"/>
            </w:tcBorders>
            <w:shd w:val="clear" w:color="auto" w:fill="auto"/>
            <w:noWrap/>
            <w:vAlign w:val="bottom"/>
            <w:hideMark/>
          </w:tcPr>
          <w:p w14:paraId="7A841215"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TONE</w:t>
            </w:r>
          </w:p>
        </w:tc>
        <w:tc>
          <w:tcPr>
            <w:tcW w:w="1871" w:type="dxa"/>
            <w:tcBorders>
              <w:top w:val="nil"/>
              <w:left w:val="nil"/>
              <w:bottom w:val="nil"/>
              <w:right w:val="nil"/>
            </w:tcBorders>
            <w:shd w:val="clear" w:color="auto" w:fill="auto"/>
            <w:noWrap/>
            <w:vAlign w:val="bottom"/>
            <w:hideMark/>
          </w:tcPr>
          <w:p w14:paraId="37B6AF2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2.406*</w:t>
            </w:r>
          </w:p>
        </w:tc>
        <w:tc>
          <w:tcPr>
            <w:tcW w:w="2098" w:type="dxa"/>
            <w:tcBorders>
              <w:top w:val="nil"/>
              <w:left w:val="nil"/>
              <w:bottom w:val="nil"/>
              <w:right w:val="nil"/>
            </w:tcBorders>
            <w:shd w:val="clear" w:color="auto" w:fill="auto"/>
            <w:noWrap/>
            <w:vAlign w:val="bottom"/>
            <w:hideMark/>
          </w:tcPr>
          <w:p w14:paraId="766A715D"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-0.238</w:t>
            </w:r>
          </w:p>
        </w:tc>
        <w:tc>
          <w:tcPr>
            <w:tcW w:w="1843" w:type="dxa"/>
            <w:tcBorders>
              <w:top w:val="nil"/>
              <w:left w:val="nil"/>
              <w:bottom w:val="nil"/>
              <w:right w:val="nil"/>
            </w:tcBorders>
            <w:shd w:val="clear" w:color="auto" w:fill="auto"/>
            <w:noWrap/>
            <w:vAlign w:val="bottom"/>
            <w:hideMark/>
          </w:tcPr>
          <w:p w14:paraId="6C8BE2D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7.063**</w:t>
            </w:r>
          </w:p>
        </w:tc>
      </w:tr>
      <w:tr w:rsidR="00E3638B" w:rsidRPr="00354E1E" w14:paraId="5AA0B43A" w14:textId="77777777" w:rsidTr="00E3638B">
        <w:trPr>
          <w:trHeight w:val="300"/>
        </w:trPr>
        <w:tc>
          <w:tcPr>
            <w:tcW w:w="3119" w:type="dxa"/>
            <w:tcBorders>
              <w:top w:val="nil"/>
              <w:left w:val="nil"/>
              <w:bottom w:val="nil"/>
              <w:right w:val="nil"/>
            </w:tcBorders>
            <w:shd w:val="clear" w:color="auto" w:fill="auto"/>
            <w:noWrap/>
            <w:vAlign w:val="bottom"/>
            <w:hideMark/>
          </w:tcPr>
          <w:p w14:paraId="454F5C7E"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109C316E"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[1.966]</w:t>
            </w:r>
          </w:p>
        </w:tc>
        <w:tc>
          <w:tcPr>
            <w:tcW w:w="2098" w:type="dxa"/>
            <w:tcBorders>
              <w:top w:val="nil"/>
              <w:left w:val="nil"/>
              <w:bottom w:val="nil"/>
              <w:right w:val="nil"/>
            </w:tcBorders>
            <w:shd w:val="clear" w:color="auto" w:fill="auto"/>
            <w:noWrap/>
            <w:vAlign w:val="bottom"/>
            <w:hideMark/>
          </w:tcPr>
          <w:p w14:paraId="532112C4"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[-0.189]</w:t>
            </w:r>
          </w:p>
        </w:tc>
        <w:tc>
          <w:tcPr>
            <w:tcW w:w="1843" w:type="dxa"/>
            <w:tcBorders>
              <w:top w:val="nil"/>
              <w:left w:val="nil"/>
              <w:bottom w:val="nil"/>
              <w:right w:val="nil"/>
            </w:tcBorders>
            <w:shd w:val="clear" w:color="auto" w:fill="auto"/>
            <w:noWrap/>
            <w:vAlign w:val="bottom"/>
            <w:hideMark/>
          </w:tcPr>
          <w:p w14:paraId="36D9BFD2"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[2.104]</w:t>
            </w:r>
          </w:p>
        </w:tc>
      </w:tr>
      <w:tr w:rsidR="00E3638B" w:rsidRPr="00354E1E" w14:paraId="61CABDAD" w14:textId="77777777" w:rsidTr="00E3638B">
        <w:trPr>
          <w:trHeight w:val="300"/>
        </w:trPr>
        <w:tc>
          <w:tcPr>
            <w:tcW w:w="3119" w:type="dxa"/>
            <w:tcBorders>
              <w:top w:val="nil"/>
              <w:left w:val="nil"/>
              <w:bottom w:val="nil"/>
              <w:right w:val="nil"/>
            </w:tcBorders>
            <w:shd w:val="clear" w:color="auto" w:fill="auto"/>
            <w:noWrap/>
            <w:vAlign w:val="bottom"/>
            <w:hideMark/>
          </w:tcPr>
          <w:p w14:paraId="622F0636" w14:textId="69B3BB40"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RPT</w:t>
            </w:r>
          </w:p>
        </w:tc>
        <w:tc>
          <w:tcPr>
            <w:tcW w:w="1871" w:type="dxa"/>
            <w:tcBorders>
              <w:top w:val="nil"/>
              <w:left w:val="nil"/>
              <w:bottom w:val="nil"/>
              <w:right w:val="nil"/>
            </w:tcBorders>
            <w:shd w:val="clear" w:color="auto" w:fill="auto"/>
            <w:noWrap/>
            <w:vAlign w:val="bottom"/>
            <w:hideMark/>
          </w:tcPr>
          <w:p w14:paraId="410E2A19"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0.186</w:t>
            </w:r>
          </w:p>
        </w:tc>
        <w:tc>
          <w:tcPr>
            <w:tcW w:w="2098" w:type="dxa"/>
            <w:tcBorders>
              <w:top w:val="nil"/>
              <w:left w:val="nil"/>
              <w:bottom w:val="nil"/>
              <w:right w:val="nil"/>
            </w:tcBorders>
            <w:shd w:val="clear" w:color="auto" w:fill="auto"/>
            <w:noWrap/>
            <w:vAlign w:val="bottom"/>
            <w:hideMark/>
          </w:tcPr>
          <w:p w14:paraId="5771CAC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-0.082</w:t>
            </w:r>
          </w:p>
        </w:tc>
        <w:tc>
          <w:tcPr>
            <w:tcW w:w="1843" w:type="dxa"/>
            <w:tcBorders>
              <w:top w:val="nil"/>
              <w:left w:val="nil"/>
              <w:bottom w:val="nil"/>
              <w:right w:val="nil"/>
            </w:tcBorders>
            <w:shd w:val="clear" w:color="auto" w:fill="auto"/>
            <w:noWrap/>
            <w:vAlign w:val="bottom"/>
            <w:hideMark/>
          </w:tcPr>
          <w:p w14:paraId="437E5D3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0.564</w:t>
            </w:r>
          </w:p>
        </w:tc>
      </w:tr>
      <w:tr w:rsidR="00E3638B" w:rsidRPr="00354E1E" w14:paraId="60ABBC4C" w14:textId="77777777" w:rsidTr="00E3638B">
        <w:trPr>
          <w:trHeight w:val="300"/>
        </w:trPr>
        <w:tc>
          <w:tcPr>
            <w:tcW w:w="3119" w:type="dxa"/>
            <w:tcBorders>
              <w:top w:val="nil"/>
              <w:left w:val="nil"/>
              <w:bottom w:val="nil"/>
              <w:right w:val="nil"/>
            </w:tcBorders>
            <w:shd w:val="clear" w:color="auto" w:fill="auto"/>
            <w:noWrap/>
            <w:vAlign w:val="bottom"/>
            <w:hideMark/>
          </w:tcPr>
          <w:p w14:paraId="39DB869E"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35C81D09"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[0.558]</w:t>
            </w:r>
          </w:p>
        </w:tc>
        <w:tc>
          <w:tcPr>
            <w:tcW w:w="2098" w:type="dxa"/>
            <w:tcBorders>
              <w:top w:val="nil"/>
              <w:left w:val="nil"/>
              <w:bottom w:val="nil"/>
              <w:right w:val="nil"/>
            </w:tcBorders>
            <w:shd w:val="clear" w:color="auto" w:fill="auto"/>
            <w:noWrap/>
            <w:vAlign w:val="bottom"/>
            <w:hideMark/>
          </w:tcPr>
          <w:p w14:paraId="590EC09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[-0.242]</w:t>
            </w:r>
          </w:p>
        </w:tc>
        <w:tc>
          <w:tcPr>
            <w:tcW w:w="1843" w:type="dxa"/>
            <w:tcBorders>
              <w:top w:val="nil"/>
              <w:left w:val="nil"/>
              <w:bottom w:val="nil"/>
              <w:right w:val="nil"/>
            </w:tcBorders>
            <w:shd w:val="clear" w:color="auto" w:fill="auto"/>
            <w:noWrap/>
            <w:vAlign w:val="bottom"/>
            <w:hideMark/>
          </w:tcPr>
          <w:p w14:paraId="25FFC81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[0.512]</w:t>
            </w:r>
          </w:p>
        </w:tc>
      </w:tr>
      <w:tr w:rsidR="00E3638B" w:rsidRPr="00354E1E" w14:paraId="55DEDE17" w14:textId="77777777" w:rsidTr="00E3638B">
        <w:trPr>
          <w:trHeight w:val="300"/>
        </w:trPr>
        <w:tc>
          <w:tcPr>
            <w:tcW w:w="3119" w:type="dxa"/>
            <w:tcBorders>
              <w:top w:val="nil"/>
              <w:left w:val="nil"/>
              <w:bottom w:val="nil"/>
              <w:right w:val="nil"/>
            </w:tcBorders>
            <w:shd w:val="clear" w:color="auto" w:fill="auto"/>
            <w:noWrap/>
            <w:vAlign w:val="bottom"/>
            <w:hideMark/>
          </w:tcPr>
          <w:p w14:paraId="37639450"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PROMOTERS HOLDING</w:t>
            </w:r>
          </w:p>
        </w:tc>
        <w:tc>
          <w:tcPr>
            <w:tcW w:w="1871" w:type="dxa"/>
            <w:tcBorders>
              <w:top w:val="nil"/>
              <w:left w:val="nil"/>
              <w:bottom w:val="nil"/>
              <w:right w:val="nil"/>
            </w:tcBorders>
            <w:shd w:val="clear" w:color="auto" w:fill="auto"/>
            <w:noWrap/>
            <w:vAlign w:val="bottom"/>
            <w:hideMark/>
          </w:tcPr>
          <w:p w14:paraId="023D9FB3"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-0.024</w:t>
            </w:r>
          </w:p>
        </w:tc>
        <w:tc>
          <w:tcPr>
            <w:tcW w:w="2098" w:type="dxa"/>
            <w:tcBorders>
              <w:top w:val="nil"/>
              <w:left w:val="nil"/>
              <w:bottom w:val="nil"/>
              <w:right w:val="nil"/>
            </w:tcBorders>
            <w:shd w:val="clear" w:color="auto" w:fill="auto"/>
            <w:noWrap/>
            <w:vAlign w:val="bottom"/>
            <w:hideMark/>
          </w:tcPr>
          <w:p w14:paraId="11245951"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-0.029</w:t>
            </w:r>
          </w:p>
        </w:tc>
        <w:tc>
          <w:tcPr>
            <w:tcW w:w="1843" w:type="dxa"/>
            <w:tcBorders>
              <w:top w:val="nil"/>
              <w:left w:val="nil"/>
              <w:bottom w:val="nil"/>
              <w:right w:val="nil"/>
            </w:tcBorders>
            <w:shd w:val="clear" w:color="auto" w:fill="auto"/>
            <w:noWrap/>
            <w:vAlign w:val="bottom"/>
            <w:hideMark/>
          </w:tcPr>
          <w:p w14:paraId="3A83304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-0.107</w:t>
            </w:r>
          </w:p>
        </w:tc>
      </w:tr>
      <w:tr w:rsidR="00E3638B" w:rsidRPr="00354E1E" w14:paraId="0EA6C70B" w14:textId="77777777" w:rsidTr="00E3638B">
        <w:trPr>
          <w:trHeight w:val="300"/>
        </w:trPr>
        <w:tc>
          <w:tcPr>
            <w:tcW w:w="3119" w:type="dxa"/>
            <w:tcBorders>
              <w:top w:val="nil"/>
              <w:left w:val="nil"/>
              <w:bottom w:val="nil"/>
              <w:right w:val="nil"/>
            </w:tcBorders>
            <w:shd w:val="clear" w:color="auto" w:fill="auto"/>
            <w:noWrap/>
            <w:vAlign w:val="bottom"/>
            <w:hideMark/>
          </w:tcPr>
          <w:p w14:paraId="61FB0633"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7629B74E"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[-0.477]</w:t>
            </w:r>
          </w:p>
        </w:tc>
        <w:tc>
          <w:tcPr>
            <w:tcW w:w="2098" w:type="dxa"/>
            <w:tcBorders>
              <w:top w:val="nil"/>
              <w:left w:val="nil"/>
              <w:bottom w:val="nil"/>
              <w:right w:val="nil"/>
            </w:tcBorders>
            <w:shd w:val="clear" w:color="auto" w:fill="auto"/>
            <w:noWrap/>
            <w:vAlign w:val="bottom"/>
            <w:hideMark/>
          </w:tcPr>
          <w:p w14:paraId="396A10F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[-0.556]</w:t>
            </w:r>
          </w:p>
        </w:tc>
        <w:tc>
          <w:tcPr>
            <w:tcW w:w="1843" w:type="dxa"/>
            <w:tcBorders>
              <w:top w:val="nil"/>
              <w:left w:val="nil"/>
              <w:bottom w:val="nil"/>
              <w:right w:val="nil"/>
            </w:tcBorders>
            <w:shd w:val="clear" w:color="auto" w:fill="auto"/>
            <w:noWrap/>
            <w:vAlign w:val="bottom"/>
            <w:hideMark/>
          </w:tcPr>
          <w:p w14:paraId="3518ACB7"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[-0.789]</w:t>
            </w:r>
          </w:p>
        </w:tc>
      </w:tr>
      <w:tr w:rsidR="00E3638B" w:rsidRPr="00354E1E" w14:paraId="1B588A07" w14:textId="77777777" w:rsidTr="00E3638B">
        <w:trPr>
          <w:trHeight w:val="300"/>
        </w:trPr>
        <w:tc>
          <w:tcPr>
            <w:tcW w:w="3119" w:type="dxa"/>
            <w:tcBorders>
              <w:top w:val="nil"/>
              <w:left w:val="nil"/>
              <w:bottom w:val="nil"/>
              <w:right w:val="nil"/>
            </w:tcBorders>
            <w:shd w:val="clear" w:color="auto" w:fill="auto"/>
            <w:noWrap/>
            <w:vAlign w:val="bottom"/>
            <w:hideMark/>
          </w:tcPr>
          <w:p w14:paraId="2F2EAD51"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IIAS RECOMMENDATION</w:t>
            </w:r>
          </w:p>
        </w:tc>
        <w:tc>
          <w:tcPr>
            <w:tcW w:w="1871" w:type="dxa"/>
            <w:tcBorders>
              <w:top w:val="nil"/>
              <w:left w:val="nil"/>
              <w:bottom w:val="nil"/>
              <w:right w:val="nil"/>
            </w:tcBorders>
            <w:shd w:val="clear" w:color="auto" w:fill="auto"/>
            <w:noWrap/>
            <w:vAlign w:val="bottom"/>
            <w:hideMark/>
          </w:tcPr>
          <w:p w14:paraId="2CBBB85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11.403***</w:t>
            </w:r>
          </w:p>
        </w:tc>
        <w:tc>
          <w:tcPr>
            <w:tcW w:w="2098" w:type="dxa"/>
            <w:tcBorders>
              <w:top w:val="nil"/>
              <w:left w:val="nil"/>
              <w:bottom w:val="nil"/>
              <w:right w:val="nil"/>
            </w:tcBorders>
            <w:shd w:val="clear" w:color="auto" w:fill="auto"/>
            <w:noWrap/>
            <w:vAlign w:val="bottom"/>
            <w:hideMark/>
          </w:tcPr>
          <w:p w14:paraId="389CD3F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-0.786</w:t>
            </w:r>
          </w:p>
        </w:tc>
        <w:tc>
          <w:tcPr>
            <w:tcW w:w="1843" w:type="dxa"/>
            <w:tcBorders>
              <w:top w:val="nil"/>
              <w:left w:val="nil"/>
              <w:bottom w:val="nil"/>
              <w:right w:val="nil"/>
            </w:tcBorders>
            <w:shd w:val="clear" w:color="auto" w:fill="auto"/>
            <w:noWrap/>
            <w:vAlign w:val="bottom"/>
            <w:hideMark/>
          </w:tcPr>
          <w:p w14:paraId="737CF1E3"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32.823***</w:t>
            </w:r>
          </w:p>
        </w:tc>
      </w:tr>
      <w:tr w:rsidR="00E3638B" w:rsidRPr="00354E1E" w14:paraId="54709339" w14:textId="77777777" w:rsidTr="00E3638B">
        <w:trPr>
          <w:trHeight w:val="300"/>
        </w:trPr>
        <w:tc>
          <w:tcPr>
            <w:tcW w:w="3119" w:type="dxa"/>
            <w:tcBorders>
              <w:top w:val="nil"/>
              <w:left w:val="nil"/>
              <w:bottom w:val="nil"/>
              <w:right w:val="nil"/>
            </w:tcBorders>
            <w:shd w:val="clear" w:color="auto" w:fill="auto"/>
            <w:noWrap/>
            <w:vAlign w:val="bottom"/>
            <w:hideMark/>
          </w:tcPr>
          <w:p w14:paraId="2EB3EC0F"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4773DA29"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[5.586]</w:t>
            </w:r>
          </w:p>
        </w:tc>
        <w:tc>
          <w:tcPr>
            <w:tcW w:w="2098" w:type="dxa"/>
            <w:tcBorders>
              <w:top w:val="nil"/>
              <w:left w:val="nil"/>
              <w:bottom w:val="nil"/>
              <w:right w:val="nil"/>
            </w:tcBorders>
            <w:shd w:val="clear" w:color="auto" w:fill="auto"/>
            <w:noWrap/>
            <w:vAlign w:val="bottom"/>
            <w:hideMark/>
          </w:tcPr>
          <w:p w14:paraId="4285212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[-0.361]</w:t>
            </w:r>
          </w:p>
        </w:tc>
        <w:tc>
          <w:tcPr>
            <w:tcW w:w="1843" w:type="dxa"/>
            <w:tcBorders>
              <w:top w:val="nil"/>
              <w:left w:val="nil"/>
              <w:bottom w:val="nil"/>
              <w:right w:val="nil"/>
            </w:tcBorders>
            <w:shd w:val="clear" w:color="auto" w:fill="auto"/>
            <w:noWrap/>
            <w:vAlign w:val="bottom"/>
            <w:hideMark/>
          </w:tcPr>
          <w:p w14:paraId="085588D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[6.232]</w:t>
            </w:r>
          </w:p>
        </w:tc>
      </w:tr>
      <w:tr w:rsidR="00E3638B" w:rsidRPr="00354E1E" w14:paraId="54711AB6" w14:textId="77777777" w:rsidTr="00E3638B">
        <w:trPr>
          <w:trHeight w:val="300"/>
        </w:trPr>
        <w:tc>
          <w:tcPr>
            <w:tcW w:w="3119" w:type="dxa"/>
            <w:tcBorders>
              <w:top w:val="nil"/>
              <w:left w:val="nil"/>
              <w:bottom w:val="nil"/>
              <w:right w:val="nil"/>
            </w:tcBorders>
            <w:shd w:val="clear" w:color="auto" w:fill="auto"/>
            <w:noWrap/>
            <w:vAlign w:val="bottom"/>
            <w:hideMark/>
          </w:tcPr>
          <w:p w14:paraId="7DCCE518"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SPECIAL RESOLUTION</w:t>
            </w:r>
          </w:p>
        </w:tc>
        <w:tc>
          <w:tcPr>
            <w:tcW w:w="1871" w:type="dxa"/>
            <w:tcBorders>
              <w:top w:val="nil"/>
              <w:left w:val="nil"/>
              <w:bottom w:val="nil"/>
              <w:right w:val="nil"/>
            </w:tcBorders>
            <w:shd w:val="clear" w:color="auto" w:fill="auto"/>
            <w:noWrap/>
            <w:vAlign w:val="bottom"/>
            <w:hideMark/>
          </w:tcPr>
          <w:p w14:paraId="387DBF6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-1.611</w:t>
            </w:r>
          </w:p>
        </w:tc>
        <w:tc>
          <w:tcPr>
            <w:tcW w:w="2098" w:type="dxa"/>
            <w:tcBorders>
              <w:top w:val="nil"/>
              <w:left w:val="nil"/>
              <w:bottom w:val="nil"/>
              <w:right w:val="nil"/>
            </w:tcBorders>
            <w:shd w:val="clear" w:color="auto" w:fill="auto"/>
            <w:noWrap/>
            <w:vAlign w:val="bottom"/>
            <w:hideMark/>
          </w:tcPr>
          <w:p w14:paraId="4B25C69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2.654</w:t>
            </w:r>
          </w:p>
        </w:tc>
        <w:tc>
          <w:tcPr>
            <w:tcW w:w="1843" w:type="dxa"/>
            <w:tcBorders>
              <w:top w:val="nil"/>
              <w:left w:val="nil"/>
              <w:bottom w:val="nil"/>
              <w:right w:val="nil"/>
            </w:tcBorders>
            <w:shd w:val="clear" w:color="auto" w:fill="auto"/>
            <w:noWrap/>
            <w:vAlign w:val="bottom"/>
            <w:hideMark/>
          </w:tcPr>
          <w:p w14:paraId="03404A5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-1.551</w:t>
            </w:r>
          </w:p>
        </w:tc>
      </w:tr>
      <w:tr w:rsidR="00E3638B" w:rsidRPr="00354E1E" w14:paraId="4B581152" w14:textId="77777777" w:rsidTr="00E3638B">
        <w:trPr>
          <w:trHeight w:val="300"/>
        </w:trPr>
        <w:tc>
          <w:tcPr>
            <w:tcW w:w="3119" w:type="dxa"/>
            <w:tcBorders>
              <w:top w:val="nil"/>
              <w:left w:val="nil"/>
              <w:bottom w:val="nil"/>
              <w:right w:val="nil"/>
            </w:tcBorders>
            <w:shd w:val="clear" w:color="auto" w:fill="auto"/>
            <w:noWrap/>
            <w:vAlign w:val="bottom"/>
            <w:hideMark/>
          </w:tcPr>
          <w:p w14:paraId="121AA4EB"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23358BF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[-0.802]</w:t>
            </w:r>
          </w:p>
        </w:tc>
        <w:tc>
          <w:tcPr>
            <w:tcW w:w="2098" w:type="dxa"/>
            <w:tcBorders>
              <w:top w:val="nil"/>
              <w:left w:val="nil"/>
              <w:bottom w:val="nil"/>
              <w:right w:val="nil"/>
            </w:tcBorders>
            <w:shd w:val="clear" w:color="auto" w:fill="auto"/>
            <w:noWrap/>
            <w:vAlign w:val="bottom"/>
            <w:hideMark/>
          </w:tcPr>
          <w:p w14:paraId="584725D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[1.298]</w:t>
            </w:r>
          </w:p>
        </w:tc>
        <w:tc>
          <w:tcPr>
            <w:tcW w:w="1843" w:type="dxa"/>
            <w:tcBorders>
              <w:top w:val="nil"/>
              <w:left w:val="nil"/>
              <w:bottom w:val="nil"/>
              <w:right w:val="nil"/>
            </w:tcBorders>
            <w:shd w:val="clear" w:color="auto" w:fill="auto"/>
            <w:noWrap/>
            <w:vAlign w:val="bottom"/>
            <w:hideMark/>
          </w:tcPr>
          <w:p w14:paraId="3C84BD1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[-0.270]</w:t>
            </w:r>
          </w:p>
        </w:tc>
      </w:tr>
      <w:tr w:rsidR="00E3638B" w:rsidRPr="00354E1E" w14:paraId="3DA8B984" w14:textId="77777777" w:rsidTr="00E3638B">
        <w:trPr>
          <w:trHeight w:val="300"/>
        </w:trPr>
        <w:tc>
          <w:tcPr>
            <w:tcW w:w="3119" w:type="dxa"/>
            <w:tcBorders>
              <w:top w:val="nil"/>
              <w:left w:val="nil"/>
              <w:bottom w:val="nil"/>
              <w:right w:val="nil"/>
            </w:tcBorders>
            <w:shd w:val="clear" w:color="auto" w:fill="auto"/>
            <w:noWrap/>
            <w:vAlign w:val="bottom"/>
            <w:hideMark/>
          </w:tcPr>
          <w:p w14:paraId="0C9D6670"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ROA</w:t>
            </w:r>
          </w:p>
        </w:tc>
        <w:tc>
          <w:tcPr>
            <w:tcW w:w="1871" w:type="dxa"/>
            <w:tcBorders>
              <w:top w:val="nil"/>
              <w:left w:val="nil"/>
              <w:bottom w:val="nil"/>
              <w:right w:val="nil"/>
            </w:tcBorders>
            <w:shd w:val="clear" w:color="auto" w:fill="auto"/>
            <w:noWrap/>
            <w:vAlign w:val="bottom"/>
            <w:hideMark/>
          </w:tcPr>
          <w:p w14:paraId="0D6F7C8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13.467</w:t>
            </w:r>
          </w:p>
        </w:tc>
        <w:tc>
          <w:tcPr>
            <w:tcW w:w="2098" w:type="dxa"/>
            <w:tcBorders>
              <w:top w:val="nil"/>
              <w:left w:val="nil"/>
              <w:bottom w:val="nil"/>
              <w:right w:val="nil"/>
            </w:tcBorders>
            <w:shd w:val="clear" w:color="auto" w:fill="auto"/>
            <w:noWrap/>
            <w:vAlign w:val="bottom"/>
            <w:hideMark/>
          </w:tcPr>
          <w:p w14:paraId="0909167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14.799</w:t>
            </w:r>
          </w:p>
        </w:tc>
        <w:tc>
          <w:tcPr>
            <w:tcW w:w="1843" w:type="dxa"/>
            <w:tcBorders>
              <w:top w:val="nil"/>
              <w:left w:val="nil"/>
              <w:bottom w:val="nil"/>
              <w:right w:val="nil"/>
            </w:tcBorders>
            <w:shd w:val="clear" w:color="auto" w:fill="auto"/>
            <w:noWrap/>
            <w:vAlign w:val="bottom"/>
            <w:hideMark/>
          </w:tcPr>
          <w:p w14:paraId="3CAFC1C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8.543</w:t>
            </w:r>
          </w:p>
        </w:tc>
      </w:tr>
      <w:tr w:rsidR="00E3638B" w:rsidRPr="00354E1E" w14:paraId="4A52B9A2" w14:textId="77777777" w:rsidTr="00E3638B">
        <w:trPr>
          <w:trHeight w:val="300"/>
        </w:trPr>
        <w:tc>
          <w:tcPr>
            <w:tcW w:w="3119" w:type="dxa"/>
            <w:tcBorders>
              <w:top w:val="nil"/>
              <w:left w:val="nil"/>
              <w:bottom w:val="nil"/>
              <w:right w:val="nil"/>
            </w:tcBorders>
            <w:shd w:val="clear" w:color="auto" w:fill="auto"/>
            <w:noWrap/>
            <w:vAlign w:val="bottom"/>
            <w:hideMark/>
          </w:tcPr>
          <w:p w14:paraId="0CE1E3D5"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50EE24E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[1.038]</w:t>
            </w:r>
          </w:p>
        </w:tc>
        <w:tc>
          <w:tcPr>
            <w:tcW w:w="2098" w:type="dxa"/>
            <w:tcBorders>
              <w:top w:val="nil"/>
              <w:left w:val="nil"/>
              <w:bottom w:val="nil"/>
              <w:right w:val="nil"/>
            </w:tcBorders>
            <w:shd w:val="clear" w:color="auto" w:fill="auto"/>
            <w:noWrap/>
            <w:vAlign w:val="bottom"/>
            <w:hideMark/>
          </w:tcPr>
          <w:p w14:paraId="5B0B0A3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[1.111]</w:t>
            </w:r>
          </w:p>
        </w:tc>
        <w:tc>
          <w:tcPr>
            <w:tcW w:w="1843" w:type="dxa"/>
            <w:tcBorders>
              <w:top w:val="nil"/>
              <w:left w:val="nil"/>
              <w:bottom w:val="nil"/>
              <w:right w:val="nil"/>
            </w:tcBorders>
            <w:shd w:val="clear" w:color="auto" w:fill="auto"/>
            <w:noWrap/>
            <w:vAlign w:val="bottom"/>
            <w:hideMark/>
          </w:tcPr>
          <w:p w14:paraId="519488D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[0.233]</w:t>
            </w:r>
          </w:p>
        </w:tc>
      </w:tr>
      <w:tr w:rsidR="00E3638B" w:rsidRPr="00354E1E" w14:paraId="75507842" w14:textId="77777777" w:rsidTr="00E3638B">
        <w:trPr>
          <w:trHeight w:val="300"/>
        </w:trPr>
        <w:tc>
          <w:tcPr>
            <w:tcW w:w="3119" w:type="dxa"/>
            <w:tcBorders>
              <w:top w:val="nil"/>
              <w:left w:val="nil"/>
              <w:bottom w:val="nil"/>
              <w:right w:val="nil"/>
            </w:tcBorders>
            <w:shd w:val="clear" w:color="auto" w:fill="auto"/>
            <w:noWrap/>
            <w:vAlign w:val="bottom"/>
            <w:hideMark/>
          </w:tcPr>
          <w:p w14:paraId="62A85CA8"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LOG (ASSETS)</w:t>
            </w:r>
          </w:p>
        </w:tc>
        <w:tc>
          <w:tcPr>
            <w:tcW w:w="1871" w:type="dxa"/>
            <w:tcBorders>
              <w:top w:val="nil"/>
              <w:left w:val="nil"/>
              <w:bottom w:val="nil"/>
              <w:right w:val="nil"/>
            </w:tcBorders>
            <w:shd w:val="clear" w:color="auto" w:fill="auto"/>
            <w:noWrap/>
            <w:vAlign w:val="bottom"/>
            <w:hideMark/>
          </w:tcPr>
          <w:p w14:paraId="6FF78CF1"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-1.282**</w:t>
            </w:r>
          </w:p>
        </w:tc>
        <w:tc>
          <w:tcPr>
            <w:tcW w:w="2098" w:type="dxa"/>
            <w:tcBorders>
              <w:top w:val="nil"/>
              <w:left w:val="nil"/>
              <w:bottom w:val="nil"/>
              <w:right w:val="nil"/>
            </w:tcBorders>
            <w:shd w:val="clear" w:color="auto" w:fill="auto"/>
            <w:noWrap/>
            <w:vAlign w:val="bottom"/>
            <w:hideMark/>
          </w:tcPr>
          <w:p w14:paraId="06E6F9A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1.009*</w:t>
            </w:r>
          </w:p>
        </w:tc>
        <w:tc>
          <w:tcPr>
            <w:tcW w:w="1843" w:type="dxa"/>
            <w:tcBorders>
              <w:top w:val="nil"/>
              <w:left w:val="nil"/>
              <w:bottom w:val="nil"/>
              <w:right w:val="nil"/>
            </w:tcBorders>
            <w:shd w:val="clear" w:color="auto" w:fill="auto"/>
            <w:noWrap/>
            <w:vAlign w:val="bottom"/>
            <w:hideMark/>
          </w:tcPr>
          <w:p w14:paraId="6605531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-5.674***</w:t>
            </w:r>
          </w:p>
        </w:tc>
      </w:tr>
      <w:tr w:rsidR="00E3638B" w:rsidRPr="00354E1E" w14:paraId="29DB5CD4" w14:textId="77777777" w:rsidTr="00E3638B">
        <w:trPr>
          <w:trHeight w:val="300"/>
        </w:trPr>
        <w:tc>
          <w:tcPr>
            <w:tcW w:w="3119" w:type="dxa"/>
            <w:tcBorders>
              <w:top w:val="nil"/>
              <w:left w:val="nil"/>
              <w:bottom w:val="nil"/>
              <w:right w:val="nil"/>
            </w:tcBorders>
            <w:shd w:val="clear" w:color="auto" w:fill="auto"/>
            <w:noWrap/>
            <w:vAlign w:val="bottom"/>
            <w:hideMark/>
          </w:tcPr>
          <w:p w14:paraId="2B2267F3"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61FAA56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[-2.364]</w:t>
            </w:r>
          </w:p>
        </w:tc>
        <w:tc>
          <w:tcPr>
            <w:tcW w:w="2098" w:type="dxa"/>
            <w:tcBorders>
              <w:top w:val="nil"/>
              <w:left w:val="nil"/>
              <w:bottom w:val="nil"/>
              <w:right w:val="nil"/>
            </w:tcBorders>
            <w:shd w:val="clear" w:color="auto" w:fill="auto"/>
            <w:noWrap/>
            <w:vAlign w:val="bottom"/>
            <w:hideMark/>
          </w:tcPr>
          <w:p w14:paraId="67A73461"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[1.837]</w:t>
            </w:r>
          </w:p>
        </w:tc>
        <w:tc>
          <w:tcPr>
            <w:tcW w:w="1843" w:type="dxa"/>
            <w:tcBorders>
              <w:top w:val="nil"/>
              <w:left w:val="nil"/>
              <w:bottom w:val="nil"/>
              <w:right w:val="nil"/>
            </w:tcBorders>
            <w:shd w:val="clear" w:color="auto" w:fill="auto"/>
            <w:noWrap/>
            <w:vAlign w:val="bottom"/>
            <w:hideMark/>
          </w:tcPr>
          <w:p w14:paraId="14916BA5"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[-3.651]</w:t>
            </w:r>
          </w:p>
        </w:tc>
      </w:tr>
      <w:tr w:rsidR="00E3638B" w:rsidRPr="00354E1E" w14:paraId="34B58493" w14:textId="77777777" w:rsidTr="00E3638B">
        <w:trPr>
          <w:trHeight w:val="300"/>
        </w:trPr>
        <w:tc>
          <w:tcPr>
            <w:tcW w:w="3119" w:type="dxa"/>
            <w:tcBorders>
              <w:top w:val="nil"/>
              <w:left w:val="nil"/>
              <w:bottom w:val="nil"/>
              <w:right w:val="nil"/>
            </w:tcBorders>
            <w:shd w:val="clear" w:color="auto" w:fill="auto"/>
            <w:noWrap/>
            <w:vAlign w:val="bottom"/>
            <w:hideMark/>
          </w:tcPr>
          <w:p w14:paraId="5F84FA38" w14:textId="7B7F4AF7" w:rsidR="00E3638B" w:rsidRPr="00354E1E" w:rsidRDefault="002B3278" w:rsidP="00E3638B">
            <w:pPr>
              <w:rPr>
                <w:rFonts w:ascii="Times New Roman" w:eastAsia="Times New Roman" w:hAnsi="Times New Roman" w:cs="Times New Roman"/>
                <w:i/>
                <w:iCs/>
                <w:color w:val="000000"/>
                <w:sz w:val="18"/>
                <w:szCs w:val="18"/>
              </w:rPr>
            </w:pPr>
            <w:r>
              <w:rPr>
                <w:rFonts w:ascii="Times New Roman" w:eastAsia="Times New Roman" w:hAnsi="Times New Roman" w:cs="Times New Roman"/>
                <w:i/>
                <w:iCs/>
                <w:color w:val="000000"/>
                <w:sz w:val="18"/>
                <w:szCs w:val="18"/>
              </w:rPr>
              <w:t>MB</w:t>
            </w:r>
          </w:p>
        </w:tc>
        <w:tc>
          <w:tcPr>
            <w:tcW w:w="1871" w:type="dxa"/>
            <w:tcBorders>
              <w:top w:val="nil"/>
              <w:left w:val="nil"/>
              <w:bottom w:val="nil"/>
              <w:right w:val="nil"/>
            </w:tcBorders>
            <w:shd w:val="clear" w:color="auto" w:fill="auto"/>
            <w:noWrap/>
            <w:vAlign w:val="bottom"/>
            <w:hideMark/>
          </w:tcPr>
          <w:p w14:paraId="0B8021F2"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0.023</w:t>
            </w:r>
          </w:p>
        </w:tc>
        <w:tc>
          <w:tcPr>
            <w:tcW w:w="2098" w:type="dxa"/>
            <w:tcBorders>
              <w:top w:val="nil"/>
              <w:left w:val="nil"/>
              <w:bottom w:val="nil"/>
              <w:right w:val="nil"/>
            </w:tcBorders>
            <w:shd w:val="clear" w:color="auto" w:fill="auto"/>
            <w:noWrap/>
            <w:vAlign w:val="bottom"/>
            <w:hideMark/>
          </w:tcPr>
          <w:p w14:paraId="4DA2EE1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0.152</w:t>
            </w:r>
          </w:p>
        </w:tc>
        <w:tc>
          <w:tcPr>
            <w:tcW w:w="1843" w:type="dxa"/>
            <w:tcBorders>
              <w:top w:val="nil"/>
              <w:left w:val="nil"/>
              <w:bottom w:val="nil"/>
              <w:right w:val="nil"/>
            </w:tcBorders>
            <w:shd w:val="clear" w:color="auto" w:fill="auto"/>
            <w:noWrap/>
            <w:vAlign w:val="bottom"/>
            <w:hideMark/>
          </w:tcPr>
          <w:p w14:paraId="7E94FCD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-0.473</w:t>
            </w:r>
          </w:p>
        </w:tc>
      </w:tr>
      <w:tr w:rsidR="00E3638B" w:rsidRPr="00354E1E" w14:paraId="1D352F71" w14:textId="77777777" w:rsidTr="00E3638B">
        <w:trPr>
          <w:trHeight w:val="300"/>
        </w:trPr>
        <w:tc>
          <w:tcPr>
            <w:tcW w:w="3119" w:type="dxa"/>
            <w:tcBorders>
              <w:top w:val="nil"/>
              <w:left w:val="nil"/>
              <w:bottom w:val="nil"/>
              <w:right w:val="nil"/>
            </w:tcBorders>
            <w:shd w:val="clear" w:color="auto" w:fill="auto"/>
            <w:noWrap/>
            <w:vAlign w:val="bottom"/>
            <w:hideMark/>
          </w:tcPr>
          <w:p w14:paraId="32ABD099"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046E453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[0.130]</w:t>
            </w:r>
          </w:p>
        </w:tc>
        <w:tc>
          <w:tcPr>
            <w:tcW w:w="2098" w:type="dxa"/>
            <w:tcBorders>
              <w:top w:val="nil"/>
              <w:left w:val="nil"/>
              <w:bottom w:val="nil"/>
              <w:right w:val="nil"/>
            </w:tcBorders>
            <w:shd w:val="clear" w:color="auto" w:fill="auto"/>
            <w:noWrap/>
            <w:vAlign w:val="bottom"/>
            <w:hideMark/>
          </w:tcPr>
          <w:p w14:paraId="15621B5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[0.842]</w:t>
            </w:r>
          </w:p>
        </w:tc>
        <w:tc>
          <w:tcPr>
            <w:tcW w:w="1843" w:type="dxa"/>
            <w:tcBorders>
              <w:top w:val="nil"/>
              <w:left w:val="nil"/>
              <w:bottom w:val="nil"/>
              <w:right w:val="nil"/>
            </w:tcBorders>
            <w:shd w:val="clear" w:color="auto" w:fill="auto"/>
            <w:noWrap/>
            <w:vAlign w:val="bottom"/>
            <w:hideMark/>
          </w:tcPr>
          <w:p w14:paraId="6FBF693D"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[-1.005]</w:t>
            </w:r>
          </w:p>
        </w:tc>
      </w:tr>
      <w:tr w:rsidR="00E3638B" w:rsidRPr="00354E1E" w14:paraId="303195D8" w14:textId="77777777" w:rsidTr="00E3638B">
        <w:trPr>
          <w:trHeight w:val="300"/>
        </w:trPr>
        <w:tc>
          <w:tcPr>
            <w:tcW w:w="3119" w:type="dxa"/>
            <w:tcBorders>
              <w:top w:val="nil"/>
              <w:left w:val="nil"/>
              <w:bottom w:val="nil"/>
              <w:right w:val="nil"/>
            </w:tcBorders>
            <w:shd w:val="clear" w:color="auto" w:fill="auto"/>
            <w:noWrap/>
            <w:vAlign w:val="bottom"/>
            <w:hideMark/>
          </w:tcPr>
          <w:p w14:paraId="1C69B348"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ANNUAL RETURNS</w:t>
            </w:r>
          </w:p>
        </w:tc>
        <w:tc>
          <w:tcPr>
            <w:tcW w:w="1871" w:type="dxa"/>
            <w:tcBorders>
              <w:top w:val="nil"/>
              <w:left w:val="nil"/>
              <w:bottom w:val="nil"/>
              <w:right w:val="nil"/>
            </w:tcBorders>
            <w:shd w:val="clear" w:color="auto" w:fill="auto"/>
            <w:noWrap/>
            <w:vAlign w:val="bottom"/>
            <w:hideMark/>
          </w:tcPr>
          <w:p w14:paraId="1E0F9199"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-0.060</w:t>
            </w:r>
          </w:p>
        </w:tc>
        <w:tc>
          <w:tcPr>
            <w:tcW w:w="2098" w:type="dxa"/>
            <w:tcBorders>
              <w:top w:val="nil"/>
              <w:left w:val="nil"/>
              <w:bottom w:val="nil"/>
              <w:right w:val="nil"/>
            </w:tcBorders>
            <w:shd w:val="clear" w:color="auto" w:fill="auto"/>
            <w:noWrap/>
            <w:vAlign w:val="bottom"/>
            <w:hideMark/>
          </w:tcPr>
          <w:p w14:paraId="5651562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1.822</w:t>
            </w:r>
          </w:p>
        </w:tc>
        <w:tc>
          <w:tcPr>
            <w:tcW w:w="1843" w:type="dxa"/>
            <w:tcBorders>
              <w:top w:val="nil"/>
              <w:left w:val="nil"/>
              <w:bottom w:val="nil"/>
              <w:right w:val="nil"/>
            </w:tcBorders>
            <w:shd w:val="clear" w:color="auto" w:fill="auto"/>
            <w:noWrap/>
            <w:vAlign w:val="bottom"/>
            <w:hideMark/>
          </w:tcPr>
          <w:p w14:paraId="0962D928"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4.174</w:t>
            </w:r>
          </w:p>
        </w:tc>
      </w:tr>
      <w:tr w:rsidR="00E3638B" w:rsidRPr="00354E1E" w14:paraId="0D15933A" w14:textId="77777777" w:rsidTr="00E3638B">
        <w:trPr>
          <w:trHeight w:val="300"/>
        </w:trPr>
        <w:tc>
          <w:tcPr>
            <w:tcW w:w="3119" w:type="dxa"/>
            <w:tcBorders>
              <w:top w:val="nil"/>
              <w:left w:val="nil"/>
              <w:bottom w:val="nil"/>
              <w:right w:val="nil"/>
            </w:tcBorders>
            <w:shd w:val="clear" w:color="auto" w:fill="auto"/>
            <w:noWrap/>
            <w:vAlign w:val="bottom"/>
            <w:hideMark/>
          </w:tcPr>
          <w:p w14:paraId="794E4FCA"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4C57EDC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[-0.028]</w:t>
            </w:r>
          </w:p>
        </w:tc>
        <w:tc>
          <w:tcPr>
            <w:tcW w:w="2098" w:type="dxa"/>
            <w:tcBorders>
              <w:top w:val="nil"/>
              <w:left w:val="nil"/>
              <w:bottom w:val="nil"/>
              <w:right w:val="nil"/>
            </w:tcBorders>
            <w:shd w:val="clear" w:color="auto" w:fill="auto"/>
            <w:noWrap/>
            <w:vAlign w:val="bottom"/>
            <w:hideMark/>
          </w:tcPr>
          <w:p w14:paraId="644A76D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[0.821]</w:t>
            </w:r>
          </w:p>
        </w:tc>
        <w:tc>
          <w:tcPr>
            <w:tcW w:w="1843" w:type="dxa"/>
            <w:tcBorders>
              <w:top w:val="nil"/>
              <w:left w:val="nil"/>
              <w:bottom w:val="nil"/>
              <w:right w:val="nil"/>
            </w:tcBorders>
            <w:shd w:val="clear" w:color="auto" w:fill="auto"/>
            <w:noWrap/>
            <w:vAlign w:val="bottom"/>
            <w:hideMark/>
          </w:tcPr>
          <w:p w14:paraId="17BEC844"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[0.692]</w:t>
            </w:r>
          </w:p>
        </w:tc>
      </w:tr>
      <w:tr w:rsidR="00E3638B" w:rsidRPr="00354E1E" w14:paraId="5816D489" w14:textId="77777777" w:rsidTr="00E3638B">
        <w:trPr>
          <w:trHeight w:val="300"/>
        </w:trPr>
        <w:tc>
          <w:tcPr>
            <w:tcW w:w="3119" w:type="dxa"/>
            <w:tcBorders>
              <w:top w:val="nil"/>
              <w:left w:val="nil"/>
              <w:bottom w:val="nil"/>
              <w:right w:val="nil"/>
            </w:tcBorders>
            <w:shd w:val="clear" w:color="auto" w:fill="auto"/>
            <w:noWrap/>
            <w:vAlign w:val="bottom"/>
            <w:hideMark/>
          </w:tcPr>
          <w:p w14:paraId="0FBDC63B"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STD DEV RETURNS</w:t>
            </w:r>
          </w:p>
        </w:tc>
        <w:tc>
          <w:tcPr>
            <w:tcW w:w="1871" w:type="dxa"/>
            <w:tcBorders>
              <w:top w:val="nil"/>
              <w:left w:val="nil"/>
              <w:bottom w:val="nil"/>
              <w:right w:val="nil"/>
            </w:tcBorders>
            <w:shd w:val="clear" w:color="auto" w:fill="auto"/>
            <w:noWrap/>
            <w:vAlign w:val="bottom"/>
            <w:hideMark/>
          </w:tcPr>
          <w:p w14:paraId="7E6A74B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35.183</w:t>
            </w:r>
          </w:p>
        </w:tc>
        <w:tc>
          <w:tcPr>
            <w:tcW w:w="2098" w:type="dxa"/>
            <w:tcBorders>
              <w:top w:val="nil"/>
              <w:left w:val="nil"/>
              <w:bottom w:val="nil"/>
              <w:right w:val="nil"/>
            </w:tcBorders>
            <w:shd w:val="clear" w:color="auto" w:fill="auto"/>
            <w:noWrap/>
            <w:vAlign w:val="bottom"/>
            <w:hideMark/>
          </w:tcPr>
          <w:p w14:paraId="550C5B8F"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23.629</w:t>
            </w:r>
          </w:p>
        </w:tc>
        <w:tc>
          <w:tcPr>
            <w:tcW w:w="1843" w:type="dxa"/>
            <w:tcBorders>
              <w:top w:val="nil"/>
              <w:left w:val="nil"/>
              <w:bottom w:val="nil"/>
              <w:right w:val="nil"/>
            </w:tcBorders>
            <w:shd w:val="clear" w:color="auto" w:fill="auto"/>
            <w:noWrap/>
            <w:vAlign w:val="bottom"/>
            <w:hideMark/>
          </w:tcPr>
          <w:p w14:paraId="56215716"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92.187</w:t>
            </w:r>
          </w:p>
        </w:tc>
      </w:tr>
      <w:tr w:rsidR="00E3638B" w:rsidRPr="00354E1E" w14:paraId="26DDA298" w14:textId="77777777" w:rsidTr="00E3638B">
        <w:trPr>
          <w:trHeight w:val="300"/>
        </w:trPr>
        <w:tc>
          <w:tcPr>
            <w:tcW w:w="3119" w:type="dxa"/>
            <w:tcBorders>
              <w:top w:val="nil"/>
              <w:left w:val="nil"/>
              <w:bottom w:val="nil"/>
              <w:right w:val="nil"/>
            </w:tcBorders>
            <w:shd w:val="clear" w:color="auto" w:fill="auto"/>
            <w:noWrap/>
            <w:vAlign w:val="bottom"/>
            <w:hideMark/>
          </w:tcPr>
          <w:p w14:paraId="7EE47B09"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1E50FE5C"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[1.426]</w:t>
            </w:r>
          </w:p>
        </w:tc>
        <w:tc>
          <w:tcPr>
            <w:tcW w:w="2098" w:type="dxa"/>
            <w:tcBorders>
              <w:top w:val="nil"/>
              <w:left w:val="nil"/>
              <w:bottom w:val="nil"/>
              <w:right w:val="nil"/>
            </w:tcBorders>
            <w:shd w:val="clear" w:color="auto" w:fill="auto"/>
            <w:noWrap/>
            <w:vAlign w:val="bottom"/>
            <w:hideMark/>
          </w:tcPr>
          <w:p w14:paraId="243ACD17"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[0.923]</w:t>
            </w:r>
          </w:p>
        </w:tc>
        <w:tc>
          <w:tcPr>
            <w:tcW w:w="1843" w:type="dxa"/>
            <w:tcBorders>
              <w:top w:val="nil"/>
              <w:left w:val="nil"/>
              <w:bottom w:val="nil"/>
              <w:right w:val="nil"/>
            </w:tcBorders>
            <w:shd w:val="clear" w:color="auto" w:fill="auto"/>
            <w:noWrap/>
            <w:vAlign w:val="bottom"/>
            <w:hideMark/>
          </w:tcPr>
          <w:p w14:paraId="7EDAB1A2"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[1.263]</w:t>
            </w:r>
          </w:p>
        </w:tc>
      </w:tr>
      <w:tr w:rsidR="00E3638B" w:rsidRPr="00354E1E" w14:paraId="24DBD930" w14:textId="77777777" w:rsidTr="00E3638B">
        <w:trPr>
          <w:trHeight w:val="300"/>
        </w:trPr>
        <w:tc>
          <w:tcPr>
            <w:tcW w:w="3119" w:type="dxa"/>
            <w:tcBorders>
              <w:top w:val="nil"/>
              <w:left w:val="nil"/>
              <w:bottom w:val="nil"/>
              <w:right w:val="nil"/>
            </w:tcBorders>
            <w:shd w:val="clear" w:color="auto" w:fill="auto"/>
            <w:noWrap/>
            <w:vAlign w:val="bottom"/>
            <w:hideMark/>
          </w:tcPr>
          <w:p w14:paraId="1FB355BF" w14:textId="77777777" w:rsidR="00E3638B" w:rsidRPr="00354E1E" w:rsidRDefault="00E3638B" w:rsidP="00E3638B">
            <w:pPr>
              <w:rPr>
                <w:rFonts w:ascii="Times New Roman" w:eastAsia="Times New Roman" w:hAnsi="Times New Roman" w:cs="Times New Roman"/>
                <w:i/>
                <w:iCs/>
                <w:color w:val="000000"/>
                <w:sz w:val="18"/>
                <w:szCs w:val="18"/>
              </w:rPr>
            </w:pPr>
            <w:r w:rsidRPr="00354E1E">
              <w:rPr>
                <w:rFonts w:ascii="Times New Roman" w:eastAsia="Times New Roman" w:hAnsi="Times New Roman" w:cs="Times New Roman"/>
                <w:i/>
                <w:iCs/>
                <w:color w:val="000000"/>
                <w:sz w:val="18"/>
                <w:szCs w:val="18"/>
              </w:rPr>
              <w:t>% INDEPENDENT DIRECTORS</w:t>
            </w:r>
          </w:p>
        </w:tc>
        <w:tc>
          <w:tcPr>
            <w:tcW w:w="1871" w:type="dxa"/>
            <w:tcBorders>
              <w:top w:val="nil"/>
              <w:left w:val="nil"/>
              <w:bottom w:val="nil"/>
              <w:right w:val="nil"/>
            </w:tcBorders>
            <w:shd w:val="clear" w:color="auto" w:fill="auto"/>
            <w:noWrap/>
            <w:vAlign w:val="bottom"/>
            <w:hideMark/>
          </w:tcPr>
          <w:p w14:paraId="3DED4087"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-14.264**</w:t>
            </w:r>
          </w:p>
        </w:tc>
        <w:tc>
          <w:tcPr>
            <w:tcW w:w="2098" w:type="dxa"/>
            <w:tcBorders>
              <w:top w:val="nil"/>
              <w:left w:val="nil"/>
              <w:bottom w:val="nil"/>
              <w:right w:val="nil"/>
            </w:tcBorders>
            <w:shd w:val="clear" w:color="auto" w:fill="auto"/>
            <w:noWrap/>
            <w:vAlign w:val="bottom"/>
            <w:hideMark/>
          </w:tcPr>
          <w:p w14:paraId="51D1411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8.999</w:t>
            </w:r>
          </w:p>
        </w:tc>
        <w:tc>
          <w:tcPr>
            <w:tcW w:w="1843" w:type="dxa"/>
            <w:tcBorders>
              <w:top w:val="nil"/>
              <w:left w:val="nil"/>
              <w:bottom w:val="nil"/>
              <w:right w:val="nil"/>
            </w:tcBorders>
            <w:shd w:val="clear" w:color="auto" w:fill="auto"/>
            <w:noWrap/>
            <w:vAlign w:val="bottom"/>
            <w:hideMark/>
          </w:tcPr>
          <w:p w14:paraId="63BB55EA"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-60.074***</w:t>
            </w:r>
          </w:p>
        </w:tc>
      </w:tr>
      <w:tr w:rsidR="00E3638B" w:rsidRPr="00354E1E" w14:paraId="64238E3E" w14:textId="77777777" w:rsidTr="00E3638B">
        <w:trPr>
          <w:trHeight w:val="300"/>
        </w:trPr>
        <w:tc>
          <w:tcPr>
            <w:tcW w:w="3119" w:type="dxa"/>
            <w:tcBorders>
              <w:top w:val="nil"/>
              <w:left w:val="nil"/>
              <w:bottom w:val="nil"/>
              <w:right w:val="nil"/>
            </w:tcBorders>
            <w:shd w:val="clear" w:color="auto" w:fill="auto"/>
            <w:noWrap/>
            <w:vAlign w:val="bottom"/>
            <w:hideMark/>
          </w:tcPr>
          <w:p w14:paraId="2127BE7C"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0CC36FCB"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[-2.261]</w:t>
            </w:r>
          </w:p>
        </w:tc>
        <w:tc>
          <w:tcPr>
            <w:tcW w:w="2098" w:type="dxa"/>
            <w:tcBorders>
              <w:top w:val="nil"/>
              <w:left w:val="nil"/>
              <w:bottom w:val="nil"/>
              <w:right w:val="nil"/>
            </w:tcBorders>
            <w:shd w:val="clear" w:color="auto" w:fill="auto"/>
            <w:noWrap/>
            <w:vAlign w:val="bottom"/>
            <w:hideMark/>
          </w:tcPr>
          <w:p w14:paraId="40A482EE"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[1.368]</w:t>
            </w:r>
          </w:p>
        </w:tc>
        <w:tc>
          <w:tcPr>
            <w:tcW w:w="1843" w:type="dxa"/>
            <w:tcBorders>
              <w:top w:val="nil"/>
              <w:left w:val="nil"/>
              <w:bottom w:val="nil"/>
              <w:right w:val="nil"/>
            </w:tcBorders>
            <w:shd w:val="clear" w:color="auto" w:fill="auto"/>
            <w:noWrap/>
            <w:vAlign w:val="bottom"/>
            <w:hideMark/>
          </w:tcPr>
          <w:p w14:paraId="023FC98B"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[-3.453]</w:t>
            </w:r>
          </w:p>
        </w:tc>
      </w:tr>
      <w:tr w:rsidR="00E3638B" w:rsidRPr="00354E1E" w14:paraId="7B58F32E" w14:textId="77777777" w:rsidTr="00E3638B">
        <w:trPr>
          <w:trHeight w:val="300"/>
        </w:trPr>
        <w:tc>
          <w:tcPr>
            <w:tcW w:w="3119" w:type="dxa"/>
            <w:tcBorders>
              <w:top w:val="nil"/>
              <w:left w:val="nil"/>
              <w:bottom w:val="nil"/>
              <w:right w:val="nil"/>
            </w:tcBorders>
            <w:shd w:val="clear" w:color="auto" w:fill="auto"/>
            <w:noWrap/>
            <w:vAlign w:val="bottom"/>
            <w:hideMark/>
          </w:tcPr>
          <w:p w14:paraId="4314DBEF" w14:textId="77777777" w:rsidR="00E3638B" w:rsidRPr="00354E1E" w:rsidRDefault="00E3638B" w:rsidP="00E3638B">
            <w:pPr>
              <w:jc w:val="center"/>
              <w:rPr>
                <w:rFonts w:ascii="Times New Roman" w:eastAsia="Times New Roman" w:hAnsi="Times New Roman" w:cs="Times New Roman"/>
                <w:color w:val="000000"/>
              </w:rPr>
            </w:pPr>
          </w:p>
        </w:tc>
        <w:tc>
          <w:tcPr>
            <w:tcW w:w="1871" w:type="dxa"/>
            <w:tcBorders>
              <w:top w:val="nil"/>
              <w:left w:val="nil"/>
              <w:bottom w:val="nil"/>
              <w:right w:val="nil"/>
            </w:tcBorders>
            <w:shd w:val="clear" w:color="auto" w:fill="auto"/>
            <w:noWrap/>
            <w:vAlign w:val="bottom"/>
            <w:hideMark/>
          </w:tcPr>
          <w:p w14:paraId="12463086" w14:textId="77777777" w:rsidR="00E3638B" w:rsidRPr="00354E1E" w:rsidRDefault="00E3638B" w:rsidP="00E3638B">
            <w:pPr>
              <w:rPr>
                <w:rFonts w:ascii="Times New Roman" w:eastAsia="Times New Roman" w:hAnsi="Times New Roman" w:cs="Times New Roman"/>
                <w:sz w:val="20"/>
                <w:szCs w:val="20"/>
              </w:rPr>
            </w:pPr>
          </w:p>
        </w:tc>
        <w:tc>
          <w:tcPr>
            <w:tcW w:w="2098" w:type="dxa"/>
            <w:tcBorders>
              <w:top w:val="nil"/>
              <w:left w:val="nil"/>
              <w:bottom w:val="nil"/>
              <w:right w:val="nil"/>
            </w:tcBorders>
            <w:shd w:val="clear" w:color="auto" w:fill="auto"/>
            <w:noWrap/>
            <w:vAlign w:val="bottom"/>
            <w:hideMark/>
          </w:tcPr>
          <w:p w14:paraId="29C05036" w14:textId="77777777" w:rsidR="00E3638B" w:rsidRPr="00354E1E" w:rsidRDefault="00E3638B" w:rsidP="00E3638B">
            <w:pPr>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51D1DEB0" w14:textId="77777777" w:rsidR="00E3638B" w:rsidRPr="00354E1E" w:rsidRDefault="00E3638B" w:rsidP="00E3638B">
            <w:pPr>
              <w:jc w:val="center"/>
              <w:rPr>
                <w:rFonts w:ascii="Times New Roman" w:eastAsia="Times New Roman" w:hAnsi="Times New Roman" w:cs="Times New Roman"/>
                <w:sz w:val="20"/>
                <w:szCs w:val="20"/>
              </w:rPr>
            </w:pPr>
          </w:p>
        </w:tc>
      </w:tr>
      <w:tr w:rsidR="00E3638B" w:rsidRPr="00354E1E" w14:paraId="35FD4535" w14:textId="77777777" w:rsidTr="00E3638B">
        <w:trPr>
          <w:trHeight w:val="300"/>
        </w:trPr>
        <w:tc>
          <w:tcPr>
            <w:tcW w:w="3119" w:type="dxa"/>
            <w:tcBorders>
              <w:top w:val="nil"/>
              <w:left w:val="nil"/>
              <w:bottom w:val="nil"/>
              <w:right w:val="nil"/>
            </w:tcBorders>
            <w:shd w:val="clear" w:color="auto" w:fill="auto"/>
            <w:noWrap/>
            <w:vAlign w:val="bottom"/>
            <w:hideMark/>
          </w:tcPr>
          <w:p w14:paraId="1E762579" w14:textId="77777777" w:rsidR="00E3638B" w:rsidRPr="00354E1E" w:rsidRDefault="00E3638B" w:rsidP="00E3638B">
            <w:pP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Year FE</w:t>
            </w:r>
          </w:p>
        </w:tc>
        <w:tc>
          <w:tcPr>
            <w:tcW w:w="1871" w:type="dxa"/>
            <w:tcBorders>
              <w:top w:val="nil"/>
              <w:left w:val="nil"/>
              <w:bottom w:val="nil"/>
              <w:right w:val="nil"/>
            </w:tcBorders>
            <w:shd w:val="clear" w:color="auto" w:fill="auto"/>
            <w:noWrap/>
            <w:vAlign w:val="bottom"/>
            <w:hideMark/>
          </w:tcPr>
          <w:p w14:paraId="35884CE1"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YES</w:t>
            </w:r>
          </w:p>
        </w:tc>
        <w:tc>
          <w:tcPr>
            <w:tcW w:w="2098" w:type="dxa"/>
            <w:tcBorders>
              <w:top w:val="nil"/>
              <w:left w:val="nil"/>
              <w:bottom w:val="nil"/>
              <w:right w:val="nil"/>
            </w:tcBorders>
            <w:shd w:val="clear" w:color="auto" w:fill="auto"/>
            <w:noWrap/>
            <w:vAlign w:val="bottom"/>
            <w:hideMark/>
          </w:tcPr>
          <w:p w14:paraId="48FA16E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YES</w:t>
            </w:r>
          </w:p>
        </w:tc>
        <w:tc>
          <w:tcPr>
            <w:tcW w:w="1843" w:type="dxa"/>
            <w:tcBorders>
              <w:top w:val="nil"/>
              <w:left w:val="nil"/>
              <w:bottom w:val="nil"/>
              <w:right w:val="nil"/>
            </w:tcBorders>
            <w:shd w:val="clear" w:color="auto" w:fill="auto"/>
            <w:noWrap/>
            <w:vAlign w:val="bottom"/>
            <w:hideMark/>
          </w:tcPr>
          <w:p w14:paraId="3D4C5FA0" w14:textId="77777777" w:rsidR="00E3638B" w:rsidRPr="00354E1E" w:rsidRDefault="00E3638B" w:rsidP="00E3638B">
            <w:pPr>
              <w:jc w:val="center"/>
              <w:rPr>
                <w:rFonts w:ascii="Times New Roman" w:eastAsia="Times New Roman" w:hAnsi="Times New Roman" w:cs="Times New Roman"/>
                <w:color w:val="000000"/>
              </w:rPr>
            </w:pPr>
            <w:r w:rsidRPr="00354E1E">
              <w:rPr>
                <w:rFonts w:ascii="Times New Roman" w:eastAsia="Times New Roman" w:hAnsi="Times New Roman" w:cs="Times New Roman"/>
                <w:color w:val="000000"/>
              </w:rPr>
              <w:t>YES</w:t>
            </w:r>
          </w:p>
        </w:tc>
      </w:tr>
      <w:tr w:rsidR="00E3638B" w:rsidRPr="00354E1E" w14:paraId="30F8EAD9" w14:textId="77777777" w:rsidTr="00E3638B">
        <w:trPr>
          <w:trHeight w:val="255"/>
        </w:trPr>
        <w:tc>
          <w:tcPr>
            <w:tcW w:w="3119" w:type="dxa"/>
            <w:tcBorders>
              <w:top w:val="nil"/>
              <w:left w:val="nil"/>
              <w:bottom w:val="single" w:sz="4" w:space="0" w:color="auto"/>
              <w:right w:val="nil"/>
            </w:tcBorders>
            <w:shd w:val="clear" w:color="auto" w:fill="auto"/>
            <w:noWrap/>
            <w:vAlign w:val="bottom"/>
            <w:hideMark/>
          </w:tcPr>
          <w:p w14:paraId="5054D20D" w14:textId="77777777" w:rsidR="00E3638B" w:rsidRPr="00354E1E" w:rsidRDefault="00E3638B" w:rsidP="00E3638B">
            <w:pP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Observations</w:t>
            </w:r>
          </w:p>
        </w:tc>
        <w:tc>
          <w:tcPr>
            <w:tcW w:w="1871" w:type="dxa"/>
            <w:tcBorders>
              <w:top w:val="nil"/>
              <w:left w:val="nil"/>
              <w:bottom w:val="single" w:sz="4" w:space="0" w:color="auto"/>
              <w:right w:val="nil"/>
            </w:tcBorders>
            <w:shd w:val="clear" w:color="auto" w:fill="auto"/>
            <w:noWrap/>
            <w:vAlign w:val="bottom"/>
            <w:hideMark/>
          </w:tcPr>
          <w:p w14:paraId="610B27B8"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345</w:t>
            </w:r>
          </w:p>
        </w:tc>
        <w:tc>
          <w:tcPr>
            <w:tcW w:w="2098" w:type="dxa"/>
            <w:tcBorders>
              <w:top w:val="nil"/>
              <w:left w:val="nil"/>
              <w:bottom w:val="single" w:sz="4" w:space="0" w:color="auto"/>
              <w:right w:val="nil"/>
            </w:tcBorders>
            <w:shd w:val="clear" w:color="auto" w:fill="auto"/>
            <w:noWrap/>
            <w:vAlign w:val="bottom"/>
            <w:hideMark/>
          </w:tcPr>
          <w:p w14:paraId="03FFA65F"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355</w:t>
            </w:r>
          </w:p>
        </w:tc>
        <w:tc>
          <w:tcPr>
            <w:tcW w:w="1843" w:type="dxa"/>
            <w:tcBorders>
              <w:top w:val="nil"/>
              <w:left w:val="nil"/>
              <w:bottom w:val="single" w:sz="4" w:space="0" w:color="auto"/>
              <w:right w:val="nil"/>
            </w:tcBorders>
            <w:shd w:val="clear" w:color="auto" w:fill="auto"/>
            <w:noWrap/>
            <w:vAlign w:val="bottom"/>
            <w:hideMark/>
          </w:tcPr>
          <w:p w14:paraId="019E4CE7" w14:textId="77777777" w:rsidR="00E3638B" w:rsidRPr="00354E1E" w:rsidRDefault="00E3638B" w:rsidP="00E3638B">
            <w:pPr>
              <w:jc w:val="center"/>
              <w:rPr>
                <w:rFonts w:ascii="Times New Roman" w:eastAsia="Times New Roman" w:hAnsi="Times New Roman" w:cs="Times New Roman"/>
                <w:color w:val="000000"/>
                <w:sz w:val="18"/>
                <w:szCs w:val="18"/>
              </w:rPr>
            </w:pPr>
            <w:r w:rsidRPr="00354E1E">
              <w:rPr>
                <w:rFonts w:ascii="Times New Roman" w:eastAsia="Times New Roman" w:hAnsi="Times New Roman" w:cs="Times New Roman"/>
                <w:color w:val="000000"/>
                <w:sz w:val="18"/>
                <w:szCs w:val="18"/>
              </w:rPr>
              <w:t>346</w:t>
            </w:r>
          </w:p>
        </w:tc>
      </w:tr>
    </w:tbl>
    <w:p w14:paraId="585651C3" w14:textId="77777777" w:rsidR="00405C5A" w:rsidRDefault="00405C5A" w:rsidP="00405C5A">
      <w:pPr>
        <w:spacing w:line="480" w:lineRule="auto"/>
        <w:jc w:val="both"/>
        <w:rPr>
          <w:sz w:val="24"/>
        </w:rPr>
      </w:pPr>
    </w:p>
    <w:p w14:paraId="028B7D66" w14:textId="77777777" w:rsidR="00405C5A" w:rsidRDefault="00405C5A" w:rsidP="00405C5A">
      <w:pPr>
        <w:jc w:val="both"/>
        <w:rPr>
          <w:sz w:val="24"/>
        </w:rPr>
      </w:pPr>
      <w:r>
        <w:rPr>
          <w:sz w:val="24"/>
        </w:rPr>
        <w:br w:type="page"/>
      </w:r>
    </w:p>
    <w:p w14:paraId="6A9355CB" w14:textId="6C458565" w:rsidR="00354E1E" w:rsidRPr="00354E1E" w:rsidRDefault="00354E1E" w:rsidP="0057453C">
      <w:pPr>
        <w:spacing w:line="480" w:lineRule="auto"/>
        <w:jc w:val="center"/>
        <w:rPr>
          <w:b/>
          <w:sz w:val="24"/>
        </w:rPr>
      </w:pPr>
      <w:r w:rsidRPr="00354E1E">
        <w:rPr>
          <w:b/>
          <w:sz w:val="24"/>
        </w:rPr>
        <w:lastRenderedPageBreak/>
        <w:t xml:space="preserve">Table </w:t>
      </w:r>
      <w:r w:rsidR="00405C5A">
        <w:rPr>
          <w:b/>
          <w:sz w:val="24"/>
        </w:rPr>
        <w:t>5</w:t>
      </w:r>
      <w:r w:rsidRPr="00354E1E">
        <w:rPr>
          <w:b/>
          <w:sz w:val="24"/>
        </w:rPr>
        <w:t xml:space="preserve"> Disclosure and Voting Outcomes</w:t>
      </w:r>
    </w:p>
    <w:p w14:paraId="2DADDC8C" w14:textId="4EF2248D" w:rsidR="00E3638B" w:rsidRDefault="00E3638B" w:rsidP="00E3638B">
      <w:pPr>
        <w:jc w:val="both"/>
        <w:rPr>
          <w:sz w:val="20"/>
          <w:szCs w:val="20"/>
        </w:rPr>
      </w:pPr>
      <w:r>
        <w:rPr>
          <w:sz w:val="20"/>
          <w:szCs w:val="20"/>
        </w:rPr>
        <w:t xml:space="preserve">This table reports the results from logistic regressions of voting outcomes on measures of information disclosure of proposed RPTs. The unit of observation is a RPT resolution which requires approval by disinterested shareholders. Variables are defined in Appendix B. ***, ** and * indicate the estimated coefficients are statistically significant at 1%, 5% and 10% level, respectively, based on two-tailed tests. </w:t>
      </w:r>
    </w:p>
    <w:p w14:paraId="08EF9B8B" w14:textId="6B2ECFC7" w:rsidR="00354E1E" w:rsidRDefault="00354E1E" w:rsidP="00E3638B">
      <w:pPr>
        <w:jc w:val="both"/>
        <w:rPr>
          <w:sz w:val="24"/>
        </w:rPr>
      </w:pPr>
    </w:p>
    <w:tbl>
      <w:tblPr>
        <w:tblW w:w="7655" w:type="dxa"/>
        <w:jc w:val="center"/>
        <w:tblLook w:val="04A0" w:firstRow="1" w:lastRow="0" w:firstColumn="1" w:lastColumn="0" w:noHBand="0" w:noVBand="1"/>
      </w:tblPr>
      <w:tblGrid>
        <w:gridCol w:w="3240"/>
        <w:gridCol w:w="1580"/>
        <w:gridCol w:w="1417"/>
        <w:gridCol w:w="1418"/>
      </w:tblGrid>
      <w:tr w:rsidR="00354E1E" w:rsidRPr="00354E1E" w14:paraId="452522BD" w14:textId="77777777" w:rsidTr="00E3638B">
        <w:trPr>
          <w:trHeight w:val="300"/>
          <w:jc w:val="center"/>
        </w:trPr>
        <w:tc>
          <w:tcPr>
            <w:tcW w:w="3240" w:type="dxa"/>
            <w:tcBorders>
              <w:top w:val="single" w:sz="4" w:space="0" w:color="auto"/>
              <w:left w:val="nil"/>
              <w:bottom w:val="nil"/>
              <w:right w:val="nil"/>
            </w:tcBorders>
            <w:shd w:val="clear" w:color="auto" w:fill="auto"/>
            <w:noWrap/>
            <w:vAlign w:val="bottom"/>
            <w:hideMark/>
          </w:tcPr>
          <w:p w14:paraId="4FF27F36" w14:textId="77777777" w:rsidR="00354E1E" w:rsidRPr="00354E1E" w:rsidRDefault="00354E1E" w:rsidP="00354E1E">
            <w:pPr>
              <w:rPr>
                <w:rFonts w:ascii="Times New Roman" w:eastAsia="Times New Roman" w:hAnsi="Times New Roman" w:cs="Times New Roman"/>
                <w:b/>
                <w:bCs/>
                <w:sz w:val="20"/>
                <w:szCs w:val="20"/>
              </w:rPr>
            </w:pPr>
            <w:r w:rsidRPr="00354E1E">
              <w:rPr>
                <w:rFonts w:ascii="Times New Roman" w:eastAsia="Times New Roman" w:hAnsi="Times New Roman" w:cs="Times New Roman"/>
                <w:b/>
                <w:bCs/>
                <w:sz w:val="20"/>
                <w:szCs w:val="20"/>
              </w:rPr>
              <w:t> </w:t>
            </w:r>
          </w:p>
        </w:tc>
        <w:tc>
          <w:tcPr>
            <w:tcW w:w="4415" w:type="dxa"/>
            <w:gridSpan w:val="3"/>
            <w:tcBorders>
              <w:top w:val="single" w:sz="4" w:space="0" w:color="auto"/>
              <w:left w:val="nil"/>
              <w:right w:val="nil"/>
            </w:tcBorders>
            <w:shd w:val="clear" w:color="auto" w:fill="auto"/>
            <w:noWrap/>
            <w:vAlign w:val="bottom"/>
          </w:tcPr>
          <w:p w14:paraId="126B9AFA" w14:textId="697D62B4" w:rsidR="00354E1E" w:rsidRPr="00354E1E" w:rsidRDefault="00354E1E" w:rsidP="00354E1E">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Probability of </w:t>
            </w:r>
            <w:r>
              <w:rPr>
                <w:rFonts w:asciiTheme="minorEastAsia" w:hAnsiTheme="minorEastAsia" w:cs="Times New Roman" w:hint="eastAsia"/>
                <w:b/>
                <w:bCs/>
                <w:sz w:val="20"/>
                <w:szCs w:val="20"/>
              </w:rPr>
              <w:t>Re</w:t>
            </w:r>
            <w:r>
              <w:rPr>
                <w:rFonts w:ascii="Times New Roman" w:eastAsia="Times New Roman" w:hAnsi="Times New Roman" w:cs="Times New Roman"/>
                <w:b/>
                <w:bCs/>
                <w:sz w:val="20"/>
                <w:szCs w:val="20"/>
              </w:rPr>
              <w:t>solution Being Passed</w:t>
            </w:r>
          </w:p>
        </w:tc>
      </w:tr>
      <w:tr w:rsidR="00354E1E" w:rsidRPr="00354E1E" w14:paraId="2C491A86" w14:textId="17673256" w:rsidTr="00E3638B">
        <w:trPr>
          <w:trHeight w:val="300"/>
          <w:jc w:val="center"/>
        </w:trPr>
        <w:tc>
          <w:tcPr>
            <w:tcW w:w="3240" w:type="dxa"/>
            <w:tcBorders>
              <w:top w:val="nil"/>
              <w:left w:val="nil"/>
              <w:bottom w:val="nil"/>
              <w:right w:val="nil"/>
            </w:tcBorders>
            <w:shd w:val="clear" w:color="auto" w:fill="auto"/>
            <w:noWrap/>
            <w:vAlign w:val="bottom"/>
            <w:hideMark/>
          </w:tcPr>
          <w:p w14:paraId="3CB29629" w14:textId="77777777" w:rsidR="00354E1E" w:rsidRPr="00354E1E" w:rsidRDefault="00354E1E" w:rsidP="00354E1E">
            <w:pPr>
              <w:jc w:val="center"/>
              <w:rPr>
                <w:rFonts w:ascii="Times New Roman" w:eastAsia="Times New Roman" w:hAnsi="Times New Roman" w:cs="Times New Roman"/>
                <w:b/>
                <w:bCs/>
                <w:sz w:val="20"/>
                <w:szCs w:val="20"/>
              </w:rPr>
            </w:pPr>
          </w:p>
        </w:tc>
        <w:tc>
          <w:tcPr>
            <w:tcW w:w="1580" w:type="dxa"/>
            <w:tcBorders>
              <w:bottom w:val="single" w:sz="4" w:space="0" w:color="auto"/>
            </w:tcBorders>
            <w:vAlign w:val="bottom"/>
          </w:tcPr>
          <w:p w14:paraId="6D02D65F" w14:textId="5DB0BECC"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1</w:t>
            </w:r>
            <w:r w:rsidRPr="00354E1E">
              <w:rPr>
                <w:rFonts w:ascii="Times New Roman" w:eastAsia="Times New Roman" w:hAnsi="Times New Roman" w:cs="Times New Roman"/>
                <w:b/>
                <w:bCs/>
                <w:sz w:val="20"/>
                <w:szCs w:val="20"/>
              </w:rPr>
              <w:t>)</w:t>
            </w:r>
          </w:p>
        </w:tc>
        <w:tc>
          <w:tcPr>
            <w:tcW w:w="1417" w:type="dxa"/>
            <w:tcBorders>
              <w:bottom w:val="single" w:sz="4" w:space="0" w:color="auto"/>
            </w:tcBorders>
            <w:vAlign w:val="bottom"/>
          </w:tcPr>
          <w:p w14:paraId="20E6DF25" w14:textId="3C654C1C"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2</w:t>
            </w:r>
            <w:r w:rsidRPr="00354E1E">
              <w:rPr>
                <w:rFonts w:ascii="Times New Roman" w:eastAsia="Times New Roman" w:hAnsi="Times New Roman" w:cs="Times New Roman"/>
                <w:b/>
                <w:bCs/>
                <w:sz w:val="20"/>
                <w:szCs w:val="20"/>
              </w:rPr>
              <w:t>)</w:t>
            </w:r>
          </w:p>
        </w:tc>
        <w:tc>
          <w:tcPr>
            <w:tcW w:w="1418" w:type="dxa"/>
            <w:tcBorders>
              <w:bottom w:val="single" w:sz="4" w:space="0" w:color="auto"/>
            </w:tcBorders>
            <w:vAlign w:val="bottom"/>
          </w:tcPr>
          <w:p w14:paraId="540B3FD1" w14:textId="60DC2A90"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3</w:t>
            </w:r>
            <w:r w:rsidRPr="00354E1E">
              <w:rPr>
                <w:rFonts w:ascii="Times New Roman" w:eastAsia="Times New Roman" w:hAnsi="Times New Roman" w:cs="Times New Roman"/>
                <w:b/>
                <w:bCs/>
                <w:sz w:val="20"/>
                <w:szCs w:val="20"/>
              </w:rPr>
              <w:t>)</w:t>
            </w:r>
          </w:p>
        </w:tc>
      </w:tr>
      <w:tr w:rsidR="00354E1E" w:rsidRPr="00354E1E" w14:paraId="506B6090" w14:textId="77777777" w:rsidTr="00E3638B">
        <w:trPr>
          <w:trHeight w:val="255"/>
          <w:jc w:val="center"/>
        </w:trPr>
        <w:tc>
          <w:tcPr>
            <w:tcW w:w="3240" w:type="dxa"/>
            <w:tcBorders>
              <w:top w:val="single" w:sz="4" w:space="0" w:color="auto"/>
              <w:left w:val="nil"/>
              <w:bottom w:val="nil"/>
              <w:right w:val="nil"/>
            </w:tcBorders>
            <w:shd w:val="clear" w:color="auto" w:fill="auto"/>
            <w:noWrap/>
            <w:vAlign w:val="bottom"/>
            <w:hideMark/>
          </w:tcPr>
          <w:p w14:paraId="0B8B567B" w14:textId="77777777" w:rsidR="00354E1E" w:rsidRPr="00354E1E" w:rsidRDefault="00354E1E" w:rsidP="00354E1E">
            <w:pPr>
              <w:rPr>
                <w:rFonts w:ascii="Times New Roman" w:eastAsia="Times New Roman" w:hAnsi="Times New Roman" w:cs="Times New Roman"/>
                <w:sz w:val="20"/>
                <w:szCs w:val="20"/>
              </w:rPr>
            </w:pPr>
            <w:r w:rsidRPr="00354E1E">
              <w:rPr>
                <w:rFonts w:ascii="Times New Roman" w:eastAsia="Times New Roman" w:hAnsi="Times New Roman" w:cs="Times New Roman"/>
                <w:sz w:val="20"/>
                <w:szCs w:val="20"/>
              </w:rPr>
              <w:t> </w:t>
            </w:r>
          </w:p>
        </w:tc>
        <w:tc>
          <w:tcPr>
            <w:tcW w:w="1580" w:type="dxa"/>
            <w:tcBorders>
              <w:top w:val="single" w:sz="4" w:space="0" w:color="auto"/>
              <w:left w:val="nil"/>
              <w:bottom w:val="nil"/>
              <w:right w:val="nil"/>
            </w:tcBorders>
            <w:shd w:val="clear" w:color="auto" w:fill="auto"/>
            <w:noWrap/>
            <w:vAlign w:val="bottom"/>
            <w:hideMark/>
          </w:tcPr>
          <w:p w14:paraId="2FE518F4" w14:textId="77777777"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sz w:val="20"/>
                <w:szCs w:val="20"/>
              </w:rPr>
              <w:t> </w:t>
            </w:r>
          </w:p>
        </w:tc>
        <w:tc>
          <w:tcPr>
            <w:tcW w:w="1417" w:type="dxa"/>
            <w:tcBorders>
              <w:top w:val="single" w:sz="4" w:space="0" w:color="auto"/>
              <w:left w:val="nil"/>
              <w:bottom w:val="nil"/>
              <w:right w:val="nil"/>
            </w:tcBorders>
            <w:shd w:val="clear" w:color="auto" w:fill="auto"/>
            <w:noWrap/>
            <w:vAlign w:val="bottom"/>
            <w:hideMark/>
          </w:tcPr>
          <w:p w14:paraId="02FB0B1B" w14:textId="77777777"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sz w:val="20"/>
                <w:szCs w:val="20"/>
              </w:rPr>
              <w:t> </w:t>
            </w:r>
          </w:p>
        </w:tc>
        <w:tc>
          <w:tcPr>
            <w:tcW w:w="1418" w:type="dxa"/>
            <w:tcBorders>
              <w:top w:val="single" w:sz="4" w:space="0" w:color="auto"/>
              <w:left w:val="nil"/>
              <w:bottom w:val="nil"/>
              <w:right w:val="nil"/>
            </w:tcBorders>
            <w:shd w:val="clear" w:color="auto" w:fill="auto"/>
            <w:noWrap/>
            <w:vAlign w:val="bottom"/>
            <w:hideMark/>
          </w:tcPr>
          <w:p w14:paraId="73E5C2B4" w14:textId="77777777" w:rsidR="00354E1E" w:rsidRPr="00354E1E" w:rsidRDefault="00354E1E" w:rsidP="00354E1E">
            <w:pPr>
              <w:jc w:val="center"/>
              <w:rPr>
                <w:rFonts w:ascii="Times New Roman" w:eastAsia="Times New Roman" w:hAnsi="Times New Roman" w:cs="Times New Roman"/>
                <w:sz w:val="20"/>
                <w:szCs w:val="20"/>
              </w:rPr>
            </w:pPr>
            <w:r w:rsidRPr="00354E1E">
              <w:rPr>
                <w:rFonts w:ascii="Times New Roman" w:eastAsia="Times New Roman" w:hAnsi="Times New Roman" w:cs="Times New Roman"/>
                <w:sz w:val="20"/>
                <w:szCs w:val="20"/>
              </w:rPr>
              <w:t> </w:t>
            </w:r>
          </w:p>
        </w:tc>
      </w:tr>
      <w:tr w:rsidR="00354E1E" w:rsidRPr="00354E1E" w14:paraId="36406723"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426457BE"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FOG</w:t>
            </w:r>
          </w:p>
        </w:tc>
        <w:tc>
          <w:tcPr>
            <w:tcW w:w="1580" w:type="dxa"/>
            <w:tcBorders>
              <w:top w:val="nil"/>
              <w:left w:val="nil"/>
              <w:bottom w:val="nil"/>
              <w:right w:val="nil"/>
            </w:tcBorders>
            <w:shd w:val="clear" w:color="auto" w:fill="auto"/>
            <w:noWrap/>
            <w:vAlign w:val="bottom"/>
            <w:hideMark/>
          </w:tcPr>
          <w:p w14:paraId="3996A680"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0.043</w:t>
            </w:r>
          </w:p>
        </w:tc>
        <w:tc>
          <w:tcPr>
            <w:tcW w:w="1417" w:type="dxa"/>
            <w:tcBorders>
              <w:top w:val="nil"/>
              <w:left w:val="nil"/>
              <w:bottom w:val="nil"/>
              <w:right w:val="nil"/>
            </w:tcBorders>
            <w:shd w:val="clear" w:color="auto" w:fill="auto"/>
            <w:noWrap/>
            <w:vAlign w:val="bottom"/>
            <w:hideMark/>
          </w:tcPr>
          <w:p w14:paraId="637E5450"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00757CC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0.038</w:t>
            </w:r>
          </w:p>
        </w:tc>
      </w:tr>
      <w:tr w:rsidR="00354E1E" w:rsidRPr="00354E1E" w14:paraId="0AEBF40F"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5FC16DD3"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65CA8549"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[1.502]</w:t>
            </w:r>
          </w:p>
        </w:tc>
        <w:tc>
          <w:tcPr>
            <w:tcW w:w="1417" w:type="dxa"/>
            <w:tcBorders>
              <w:top w:val="nil"/>
              <w:left w:val="nil"/>
              <w:bottom w:val="nil"/>
              <w:right w:val="nil"/>
            </w:tcBorders>
            <w:shd w:val="clear" w:color="auto" w:fill="auto"/>
            <w:noWrap/>
            <w:vAlign w:val="bottom"/>
            <w:hideMark/>
          </w:tcPr>
          <w:p w14:paraId="25682BD8"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418" w:type="dxa"/>
            <w:tcBorders>
              <w:top w:val="nil"/>
              <w:left w:val="nil"/>
              <w:bottom w:val="nil"/>
              <w:right w:val="nil"/>
            </w:tcBorders>
            <w:shd w:val="clear" w:color="auto" w:fill="auto"/>
            <w:noWrap/>
            <w:vAlign w:val="bottom"/>
            <w:hideMark/>
          </w:tcPr>
          <w:p w14:paraId="2866CDA5"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[1.491]</w:t>
            </w:r>
          </w:p>
        </w:tc>
      </w:tr>
      <w:tr w:rsidR="00354E1E" w:rsidRPr="00354E1E" w14:paraId="3EF7E896"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8FE9102"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TONE</w:t>
            </w:r>
          </w:p>
        </w:tc>
        <w:tc>
          <w:tcPr>
            <w:tcW w:w="1580" w:type="dxa"/>
            <w:tcBorders>
              <w:top w:val="nil"/>
              <w:left w:val="nil"/>
              <w:bottom w:val="nil"/>
              <w:right w:val="nil"/>
            </w:tcBorders>
            <w:shd w:val="clear" w:color="auto" w:fill="auto"/>
            <w:noWrap/>
            <w:vAlign w:val="bottom"/>
            <w:hideMark/>
          </w:tcPr>
          <w:p w14:paraId="1F3E5899" w14:textId="77777777" w:rsidR="00354E1E" w:rsidRPr="00354E1E" w:rsidRDefault="00354E1E" w:rsidP="00354E1E">
            <w:pPr>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35D9965C"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0.311</w:t>
            </w:r>
          </w:p>
        </w:tc>
        <w:tc>
          <w:tcPr>
            <w:tcW w:w="1418" w:type="dxa"/>
            <w:tcBorders>
              <w:top w:val="nil"/>
              <w:left w:val="nil"/>
              <w:bottom w:val="nil"/>
              <w:right w:val="nil"/>
            </w:tcBorders>
            <w:shd w:val="clear" w:color="auto" w:fill="auto"/>
            <w:noWrap/>
            <w:vAlign w:val="bottom"/>
            <w:hideMark/>
          </w:tcPr>
          <w:p w14:paraId="776A2AC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0.276</w:t>
            </w:r>
          </w:p>
        </w:tc>
      </w:tr>
      <w:tr w:rsidR="00354E1E" w:rsidRPr="00354E1E" w14:paraId="4795A10B"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47A2A9AB"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B4CAD27" w14:textId="77777777" w:rsidR="00354E1E" w:rsidRPr="00354E1E" w:rsidRDefault="00354E1E" w:rsidP="00354E1E">
            <w:pPr>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79B755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[1.188]</w:t>
            </w:r>
          </w:p>
        </w:tc>
        <w:tc>
          <w:tcPr>
            <w:tcW w:w="1418" w:type="dxa"/>
            <w:tcBorders>
              <w:top w:val="nil"/>
              <w:left w:val="nil"/>
              <w:bottom w:val="nil"/>
              <w:right w:val="nil"/>
            </w:tcBorders>
            <w:shd w:val="clear" w:color="auto" w:fill="auto"/>
            <w:noWrap/>
            <w:vAlign w:val="bottom"/>
            <w:hideMark/>
          </w:tcPr>
          <w:p w14:paraId="51F1E2C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[1.131]</w:t>
            </w:r>
          </w:p>
        </w:tc>
      </w:tr>
      <w:tr w:rsidR="00354E1E" w:rsidRPr="00354E1E" w14:paraId="64F9751C"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524FF80A" w14:textId="3938E682"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RPT</w:t>
            </w:r>
          </w:p>
        </w:tc>
        <w:tc>
          <w:tcPr>
            <w:tcW w:w="1580" w:type="dxa"/>
            <w:tcBorders>
              <w:top w:val="nil"/>
              <w:left w:val="nil"/>
              <w:bottom w:val="nil"/>
              <w:right w:val="nil"/>
            </w:tcBorders>
            <w:shd w:val="clear" w:color="auto" w:fill="auto"/>
            <w:noWrap/>
            <w:vAlign w:val="bottom"/>
            <w:hideMark/>
          </w:tcPr>
          <w:p w14:paraId="445B95E5"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2.885**</w:t>
            </w:r>
          </w:p>
        </w:tc>
        <w:tc>
          <w:tcPr>
            <w:tcW w:w="1417" w:type="dxa"/>
            <w:tcBorders>
              <w:top w:val="nil"/>
              <w:left w:val="nil"/>
              <w:bottom w:val="nil"/>
              <w:right w:val="nil"/>
            </w:tcBorders>
            <w:shd w:val="clear" w:color="auto" w:fill="auto"/>
            <w:noWrap/>
            <w:vAlign w:val="bottom"/>
            <w:hideMark/>
          </w:tcPr>
          <w:p w14:paraId="08924EC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2.380*</w:t>
            </w:r>
          </w:p>
        </w:tc>
        <w:tc>
          <w:tcPr>
            <w:tcW w:w="1418" w:type="dxa"/>
            <w:tcBorders>
              <w:top w:val="nil"/>
              <w:left w:val="nil"/>
              <w:bottom w:val="nil"/>
              <w:right w:val="nil"/>
            </w:tcBorders>
            <w:shd w:val="clear" w:color="auto" w:fill="auto"/>
            <w:noWrap/>
            <w:vAlign w:val="bottom"/>
            <w:hideMark/>
          </w:tcPr>
          <w:p w14:paraId="6FE5FBC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2.776**</w:t>
            </w:r>
          </w:p>
        </w:tc>
      </w:tr>
      <w:tr w:rsidR="00354E1E" w:rsidRPr="00354E1E" w14:paraId="3F3511CA"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510E8F68"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4566B7B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[2.098]</w:t>
            </w:r>
          </w:p>
        </w:tc>
        <w:tc>
          <w:tcPr>
            <w:tcW w:w="1417" w:type="dxa"/>
            <w:tcBorders>
              <w:top w:val="nil"/>
              <w:left w:val="nil"/>
              <w:bottom w:val="nil"/>
              <w:right w:val="nil"/>
            </w:tcBorders>
            <w:shd w:val="clear" w:color="auto" w:fill="auto"/>
            <w:noWrap/>
            <w:vAlign w:val="bottom"/>
            <w:hideMark/>
          </w:tcPr>
          <w:p w14:paraId="10A35B27"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[1.694]</w:t>
            </w:r>
          </w:p>
        </w:tc>
        <w:tc>
          <w:tcPr>
            <w:tcW w:w="1418" w:type="dxa"/>
            <w:tcBorders>
              <w:top w:val="nil"/>
              <w:left w:val="nil"/>
              <w:bottom w:val="nil"/>
              <w:right w:val="nil"/>
            </w:tcBorders>
            <w:shd w:val="clear" w:color="auto" w:fill="auto"/>
            <w:noWrap/>
            <w:vAlign w:val="bottom"/>
            <w:hideMark/>
          </w:tcPr>
          <w:p w14:paraId="65EC8EF4"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[2.059]</w:t>
            </w:r>
          </w:p>
        </w:tc>
      </w:tr>
      <w:tr w:rsidR="00354E1E" w:rsidRPr="00354E1E" w14:paraId="3C0467F0"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71F8427A"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PROMOTERS HOLDING</w:t>
            </w:r>
          </w:p>
        </w:tc>
        <w:tc>
          <w:tcPr>
            <w:tcW w:w="1580" w:type="dxa"/>
            <w:tcBorders>
              <w:top w:val="nil"/>
              <w:left w:val="nil"/>
              <w:bottom w:val="nil"/>
              <w:right w:val="nil"/>
            </w:tcBorders>
            <w:shd w:val="clear" w:color="auto" w:fill="auto"/>
            <w:noWrap/>
            <w:vAlign w:val="bottom"/>
            <w:hideMark/>
          </w:tcPr>
          <w:p w14:paraId="1DD3B4D8"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0.041***</w:t>
            </w:r>
          </w:p>
        </w:tc>
        <w:tc>
          <w:tcPr>
            <w:tcW w:w="1417" w:type="dxa"/>
            <w:tcBorders>
              <w:top w:val="nil"/>
              <w:left w:val="nil"/>
              <w:bottom w:val="nil"/>
              <w:right w:val="nil"/>
            </w:tcBorders>
            <w:shd w:val="clear" w:color="auto" w:fill="auto"/>
            <w:noWrap/>
            <w:vAlign w:val="bottom"/>
            <w:hideMark/>
          </w:tcPr>
          <w:p w14:paraId="5DCD865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0.034***</w:t>
            </w:r>
          </w:p>
        </w:tc>
        <w:tc>
          <w:tcPr>
            <w:tcW w:w="1418" w:type="dxa"/>
            <w:tcBorders>
              <w:top w:val="nil"/>
              <w:left w:val="nil"/>
              <w:bottom w:val="nil"/>
              <w:right w:val="nil"/>
            </w:tcBorders>
            <w:shd w:val="clear" w:color="auto" w:fill="auto"/>
            <w:noWrap/>
            <w:vAlign w:val="bottom"/>
            <w:hideMark/>
          </w:tcPr>
          <w:p w14:paraId="30A81A44"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0.040***</w:t>
            </w:r>
          </w:p>
        </w:tc>
      </w:tr>
      <w:tr w:rsidR="00354E1E" w:rsidRPr="00354E1E" w14:paraId="5CA7213C"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01435BC"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23271A8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[4.090]</w:t>
            </w:r>
          </w:p>
        </w:tc>
        <w:tc>
          <w:tcPr>
            <w:tcW w:w="1417" w:type="dxa"/>
            <w:tcBorders>
              <w:top w:val="nil"/>
              <w:left w:val="nil"/>
              <w:bottom w:val="nil"/>
              <w:right w:val="nil"/>
            </w:tcBorders>
            <w:shd w:val="clear" w:color="auto" w:fill="auto"/>
            <w:noWrap/>
            <w:vAlign w:val="bottom"/>
            <w:hideMark/>
          </w:tcPr>
          <w:p w14:paraId="2E328EC8"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[3.475]</w:t>
            </w:r>
          </w:p>
        </w:tc>
        <w:tc>
          <w:tcPr>
            <w:tcW w:w="1418" w:type="dxa"/>
            <w:tcBorders>
              <w:top w:val="nil"/>
              <w:left w:val="nil"/>
              <w:bottom w:val="nil"/>
              <w:right w:val="nil"/>
            </w:tcBorders>
            <w:shd w:val="clear" w:color="auto" w:fill="auto"/>
            <w:noWrap/>
            <w:vAlign w:val="bottom"/>
            <w:hideMark/>
          </w:tcPr>
          <w:p w14:paraId="649C5649"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[4.215]</w:t>
            </w:r>
          </w:p>
        </w:tc>
      </w:tr>
      <w:tr w:rsidR="00354E1E" w:rsidRPr="00354E1E" w14:paraId="35A2CCA9"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2B2D829"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IIAS RECOMMENDATION</w:t>
            </w:r>
          </w:p>
        </w:tc>
        <w:tc>
          <w:tcPr>
            <w:tcW w:w="1580" w:type="dxa"/>
            <w:tcBorders>
              <w:top w:val="nil"/>
              <w:left w:val="nil"/>
              <w:bottom w:val="nil"/>
              <w:right w:val="nil"/>
            </w:tcBorders>
            <w:shd w:val="clear" w:color="auto" w:fill="auto"/>
            <w:noWrap/>
            <w:vAlign w:val="bottom"/>
            <w:hideMark/>
          </w:tcPr>
          <w:p w14:paraId="1EC448B8"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1.125**</w:t>
            </w:r>
          </w:p>
        </w:tc>
        <w:tc>
          <w:tcPr>
            <w:tcW w:w="1417" w:type="dxa"/>
            <w:tcBorders>
              <w:top w:val="nil"/>
              <w:left w:val="nil"/>
              <w:bottom w:val="nil"/>
              <w:right w:val="nil"/>
            </w:tcBorders>
            <w:shd w:val="clear" w:color="auto" w:fill="auto"/>
            <w:noWrap/>
            <w:vAlign w:val="bottom"/>
            <w:hideMark/>
          </w:tcPr>
          <w:p w14:paraId="6B267450"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1.146**</w:t>
            </w:r>
          </w:p>
        </w:tc>
        <w:tc>
          <w:tcPr>
            <w:tcW w:w="1418" w:type="dxa"/>
            <w:tcBorders>
              <w:top w:val="nil"/>
              <w:left w:val="nil"/>
              <w:bottom w:val="nil"/>
              <w:right w:val="nil"/>
            </w:tcBorders>
            <w:shd w:val="clear" w:color="auto" w:fill="auto"/>
            <w:noWrap/>
            <w:vAlign w:val="bottom"/>
            <w:hideMark/>
          </w:tcPr>
          <w:p w14:paraId="3D49071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1.152**</w:t>
            </w:r>
          </w:p>
        </w:tc>
      </w:tr>
      <w:tr w:rsidR="00354E1E" w:rsidRPr="00354E1E" w14:paraId="19FEA622"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4192432A"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3D3DD7D7"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[2.242]</w:t>
            </w:r>
          </w:p>
        </w:tc>
        <w:tc>
          <w:tcPr>
            <w:tcW w:w="1417" w:type="dxa"/>
            <w:tcBorders>
              <w:top w:val="nil"/>
              <w:left w:val="nil"/>
              <w:bottom w:val="nil"/>
              <w:right w:val="nil"/>
            </w:tcBorders>
            <w:shd w:val="clear" w:color="auto" w:fill="auto"/>
            <w:noWrap/>
            <w:vAlign w:val="bottom"/>
            <w:hideMark/>
          </w:tcPr>
          <w:p w14:paraId="088E295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[2.039]</w:t>
            </w:r>
          </w:p>
        </w:tc>
        <w:tc>
          <w:tcPr>
            <w:tcW w:w="1418" w:type="dxa"/>
            <w:tcBorders>
              <w:top w:val="nil"/>
              <w:left w:val="nil"/>
              <w:bottom w:val="nil"/>
              <w:right w:val="nil"/>
            </w:tcBorders>
            <w:shd w:val="clear" w:color="auto" w:fill="auto"/>
            <w:noWrap/>
            <w:vAlign w:val="bottom"/>
            <w:hideMark/>
          </w:tcPr>
          <w:p w14:paraId="50D517C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[2.116]</w:t>
            </w:r>
          </w:p>
        </w:tc>
      </w:tr>
      <w:tr w:rsidR="00354E1E" w:rsidRPr="00354E1E" w14:paraId="22182253"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59382298"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SPECIAL RESOLUTION</w:t>
            </w:r>
          </w:p>
        </w:tc>
        <w:tc>
          <w:tcPr>
            <w:tcW w:w="1580" w:type="dxa"/>
            <w:tcBorders>
              <w:top w:val="nil"/>
              <w:left w:val="nil"/>
              <w:bottom w:val="nil"/>
              <w:right w:val="nil"/>
            </w:tcBorders>
            <w:shd w:val="clear" w:color="auto" w:fill="auto"/>
            <w:noWrap/>
            <w:vAlign w:val="bottom"/>
            <w:hideMark/>
          </w:tcPr>
          <w:p w14:paraId="1D4CBD89"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0.223</w:t>
            </w:r>
          </w:p>
        </w:tc>
        <w:tc>
          <w:tcPr>
            <w:tcW w:w="1417" w:type="dxa"/>
            <w:tcBorders>
              <w:top w:val="nil"/>
              <w:left w:val="nil"/>
              <w:bottom w:val="nil"/>
              <w:right w:val="nil"/>
            </w:tcBorders>
            <w:shd w:val="clear" w:color="auto" w:fill="auto"/>
            <w:noWrap/>
            <w:vAlign w:val="bottom"/>
            <w:hideMark/>
          </w:tcPr>
          <w:p w14:paraId="24100477"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0.028</w:t>
            </w:r>
          </w:p>
        </w:tc>
        <w:tc>
          <w:tcPr>
            <w:tcW w:w="1418" w:type="dxa"/>
            <w:tcBorders>
              <w:top w:val="nil"/>
              <w:left w:val="nil"/>
              <w:bottom w:val="nil"/>
              <w:right w:val="nil"/>
            </w:tcBorders>
            <w:shd w:val="clear" w:color="auto" w:fill="auto"/>
            <w:noWrap/>
            <w:vAlign w:val="bottom"/>
            <w:hideMark/>
          </w:tcPr>
          <w:p w14:paraId="15881EF4"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0.153</w:t>
            </w:r>
          </w:p>
        </w:tc>
      </w:tr>
      <w:tr w:rsidR="00354E1E" w:rsidRPr="00354E1E" w14:paraId="6B8F751C"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2E9A006"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2946E91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[0.425]</w:t>
            </w:r>
          </w:p>
        </w:tc>
        <w:tc>
          <w:tcPr>
            <w:tcW w:w="1417" w:type="dxa"/>
            <w:tcBorders>
              <w:top w:val="nil"/>
              <w:left w:val="nil"/>
              <w:bottom w:val="nil"/>
              <w:right w:val="nil"/>
            </w:tcBorders>
            <w:shd w:val="clear" w:color="auto" w:fill="auto"/>
            <w:noWrap/>
            <w:vAlign w:val="bottom"/>
            <w:hideMark/>
          </w:tcPr>
          <w:p w14:paraId="206944D1"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[0.054]</w:t>
            </w:r>
          </w:p>
        </w:tc>
        <w:tc>
          <w:tcPr>
            <w:tcW w:w="1418" w:type="dxa"/>
            <w:tcBorders>
              <w:top w:val="nil"/>
              <w:left w:val="nil"/>
              <w:bottom w:val="nil"/>
              <w:right w:val="nil"/>
            </w:tcBorders>
            <w:shd w:val="clear" w:color="auto" w:fill="auto"/>
            <w:noWrap/>
            <w:vAlign w:val="bottom"/>
            <w:hideMark/>
          </w:tcPr>
          <w:p w14:paraId="0181CC8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[0.287]</w:t>
            </w:r>
          </w:p>
        </w:tc>
      </w:tr>
      <w:tr w:rsidR="00354E1E" w:rsidRPr="00354E1E" w14:paraId="78F64A45"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798CA3DD"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ROA</w:t>
            </w:r>
          </w:p>
        </w:tc>
        <w:tc>
          <w:tcPr>
            <w:tcW w:w="1580" w:type="dxa"/>
            <w:tcBorders>
              <w:top w:val="nil"/>
              <w:left w:val="nil"/>
              <w:bottom w:val="nil"/>
              <w:right w:val="nil"/>
            </w:tcBorders>
            <w:shd w:val="clear" w:color="auto" w:fill="auto"/>
            <w:noWrap/>
            <w:vAlign w:val="bottom"/>
            <w:hideMark/>
          </w:tcPr>
          <w:p w14:paraId="3126500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-0.039</w:t>
            </w:r>
          </w:p>
        </w:tc>
        <w:tc>
          <w:tcPr>
            <w:tcW w:w="1417" w:type="dxa"/>
            <w:tcBorders>
              <w:top w:val="nil"/>
              <w:left w:val="nil"/>
              <w:bottom w:val="nil"/>
              <w:right w:val="nil"/>
            </w:tcBorders>
            <w:shd w:val="clear" w:color="auto" w:fill="auto"/>
            <w:noWrap/>
            <w:vAlign w:val="bottom"/>
            <w:hideMark/>
          </w:tcPr>
          <w:p w14:paraId="25D9758A"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0.581</w:t>
            </w:r>
          </w:p>
        </w:tc>
        <w:tc>
          <w:tcPr>
            <w:tcW w:w="1418" w:type="dxa"/>
            <w:tcBorders>
              <w:top w:val="nil"/>
              <w:left w:val="nil"/>
              <w:bottom w:val="nil"/>
              <w:right w:val="nil"/>
            </w:tcBorders>
            <w:shd w:val="clear" w:color="auto" w:fill="auto"/>
            <w:noWrap/>
            <w:vAlign w:val="bottom"/>
            <w:hideMark/>
          </w:tcPr>
          <w:p w14:paraId="227EE3CF"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-0.395</w:t>
            </w:r>
          </w:p>
        </w:tc>
      </w:tr>
      <w:tr w:rsidR="00354E1E" w:rsidRPr="00354E1E" w14:paraId="57E2A558"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B8C439D"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02A869D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[-0.012]</w:t>
            </w:r>
          </w:p>
        </w:tc>
        <w:tc>
          <w:tcPr>
            <w:tcW w:w="1417" w:type="dxa"/>
            <w:tcBorders>
              <w:top w:val="nil"/>
              <w:left w:val="nil"/>
              <w:bottom w:val="nil"/>
              <w:right w:val="nil"/>
            </w:tcBorders>
            <w:shd w:val="clear" w:color="auto" w:fill="auto"/>
            <w:noWrap/>
            <w:vAlign w:val="bottom"/>
            <w:hideMark/>
          </w:tcPr>
          <w:p w14:paraId="11F0E7D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[0.166]</w:t>
            </w:r>
          </w:p>
        </w:tc>
        <w:tc>
          <w:tcPr>
            <w:tcW w:w="1418" w:type="dxa"/>
            <w:tcBorders>
              <w:top w:val="nil"/>
              <w:left w:val="nil"/>
              <w:bottom w:val="nil"/>
              <w:right w:val="nil"/>
            </w:tcBorders>
            <w:shd w:val="clear" w:color="auto" w:fill="auto"/>
            <w:noWrap/>
            <w:vAlign w:val="bottom"/>
            <w:hideMark/>
          </w:tcPr>
          <w:p w14:paraId="61FA3C28"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[-0.116]</w:t>
            </w:r>
          </w:p>
        </w:tc>
      </w:tr>
      <w:tr w:rsidR="00354E1E" w:rsidRPr="00354E1E" w14:paraId="3FEB0788"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2CEE0081"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LOG (ASSETS)</w:t>
            </w:r>
          </w:p>
        </w:tc>
        <w:tc>
          <w:tcPr>
            <w:tcW w:w="1580" w:type="dxa"/>
            <w:tcBorders>
              <w:top w:val="nil"/>
              <w:left w:val="nil"/>
              <w:bottom w:val="nil"/>
              <w:right w:val="nil"/>
            </w:tcBorders>
            <w:shd w:val="clear" w:color="auto" w:fill="auto"/>
            <w:noWrap/>
            <w:vAlign w:val="bottom"/>
            <w:hideMark/>
          </w:tcPr>
          <w:p w14:paraId="3731BC18"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0.201</w:t>
            </w:r>
          </w:p>
        </w:tc>
        <w:tc>
          <w:tcPr>
            <w:tcW w:w="1417" w:type="dxa"/>
            <w:tcBorders>
              <w:top w:val="nil"/>
              <w:left w:val="nil"/>
              <w:bottom w:val="nil"/>
              <w:right w:val="nil"/>
            </w:tcBorders>
            <w:shd w:val="clear" w:color="auto" w:fill="auto"/>
            <w:noWrap/>
            <w:vAlign w:val="bottom"/>
            <w:hideMark/>
          </w:tcPr>
          <w:p w14:paraId="0A09A90F"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0.234</w:t>
            </w:r>
          </w:p>
        </w:tc>
        <w:tc>
          <w:tcPr>
            <w:tcW w:w="1418" w:type="dxa"/>
            <w:tcBorders>
              <w:top w:val="nil"/>
              <w:left w:val="nil"/>
              <w:bottom w:val="nil"/>
              <w:right w:val="nil"/>
            </w:tcBorders>
            <w:shd w:val="clear" w:color="auto" w:fill="auto"/>
            <w:noWrap/>
            <w:vAlign w:val="bottom"/>
            <w:hideMark/>
          </w:tcPr>
          <w:p w14:paraId="2FA74ABD"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0.179</w:t>
            </w:r>
          </w:p>
        </w:tc>
      </w:tr>
      <w:tr w:rsidR="00354E1E" w:rsidRPr="00354E1E" w14:paraId="378B6420"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368CC233"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79DF613D"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[1.237]</w:t>
            </w:r>
          </w:p>
        </w:tc>
        <w:tc>
          <w:tcPr>
            <w:tcW w:w="1417" w:type="dxa"/>
            <w:tcBorders>
              <w:top w:val="nil"/>
              <w:left w:val="nil"/>
              <w:bottom w:val="nil"/>
              <w:right w:val="nil"/>
            </w:tcBorders>
            <w:shd w:val="clear" w:color="auto" w:fill="auto"/>
            <w:noWrap/>
            <w:vAlign w:val="bottom"/>
            <w:hideMark/>
          </w:tcPr>
          <w:p w14:paraId="09A267E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[1.623]</w:t>
            </w:r>
          </w:p>
        </w:tc>
        <w:tc>
          <w:tcPr>
            <w:tcW w:w="1418" w:type="dxa"/>
            <w:tcBorders>
              <w:top w:val="nil"/>
              <w:left w:val="nil"/>
              <w:bottom w:val="nil"/>
              <w:right w:val="nil"/>
            </w:tcBorders>
            <w:shd w:val="clear" w:color="auto" w:fill="auto"/>
            <w:noWrap/>
            <w:vAlign w:val="bottom"/>
            <w:hideMark/>
          </w:tcPr>
          <w:p w14:paraId="3678135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[1.123]</w:t>
            </w:r>
          </w:p>
        </w:tc>
      </w:tr>
      <w:tr w:rsidR="00354E1E" w:rsidRPr="00354E1E" w14:paraId="795CA9E8"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798CDFD6" w14:textId="2AAE2736" w:rsidR="00354E1E" w:rsidRPr="00354E1E" w:rsidRDefault="002B3278" w:rsidP="00354E1E">
            <w:pP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MB</w:t>
            </w:r>
          </w:p>
        </w:tc>
        <w:tc>
          <w:tcPr>
            <w:tcW w:w="1580" w:type="dxa"/>
            <w:tcBorders>
              <w:top w:val="nil"/>
              <w:left w:val="nil"/>
              <w:bottom w:val="nil"/>
              <w:right w:val="nil"/>
            </w:tcBorders>
            <w:shd w:val="clear" w:color="auto" w:fill="auto"/>
            <w:noWrap/>
            <w:vAlign w:val="bottom"/>
            <w:hideMark/>
          </w:tcPr>
          <w:p w14:paraId="7A68CFB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-0.042</w:t>
            </w:r>
          </w:p>
        </w:tc>
        <w:tc>
          <w:tcPr>
            <w:tcW w:w="1417" w:type="dxa"/>
            <w:tcBorders>
              <w:top w:val="nil"/>
              <w:left w:val="nil"/>
              <w:bottom w:val="nil"/>
              <w:right w:val="nil"/>
            </w:tcBorders>
            <w:shd w:val="clear" w:color="auto" w:fill="auto"/>
            <w:noWrap/>
            <w:vAlign w:val="bottom"/>
            <w:hideMark/>
          </w:tcPr>
          <w:p w14:paraId="21F4ED95"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-0.033</w:t>
            </w:r>
          </w:p>
        </w:tc>
        <w:tc>
          <w:tcPr>
            <w:tcW w:w="1418" w:type="dxa"/>
            <w:tcBorders>
              <w:top w:val="nil"/>
              <w:left w:val="nil"/>
              <w:bottom w:val="nil"/>
              <w:right w:val="nil"/>
            </w:tcBorders>
            <w:shd w:val="clear" w:color="auto" w:fill="auto"/>
            <w:noWrap/>
            <w:vAlign w:val="bottom"/>
            <w:hideMark/>
          </w:tcPr>
          <w:p w14:paraId="4C4B21C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-0.040</w:t>
            </w:r>
          </w:p>
        </w:tc>
      </w:tr>
      <w:tr w:rsidR="00354E1E" w:rsidRPr="00354E1E" w14:paraId="2691A577"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72EF33D2"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76B8A01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[-0.880]</w:t>
            </w:r>
          </w:p>
        </w:tc>
        <w:tc>
          <w:tcPr>
            <w:tcW w:w="1417" w:type="dxa"/>
            <w:tcBorders>
              <w:top w:val="nil"/>
              <w:left w:val="nil"/>
              <w:bottom w:val="nil"/>
              <w:right w:val="nil"/>
            </w:tcBorders>
            <w:shd w:val="clear" w:color="auto" w:fill="auto"/>
            <w:noWrap/>
            <w:vAlign w:val="bottom"/>
            <w:hideMark/>
          </w:tcPr>
          <w:p w14:paraId="23E270C4"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[-0.656]</w:t>
            </w:r>
          </w:p>
        </w:tc>
        <w:tc>
          <w:tcPr>
            <w:tcW w:w="1418" w:type="dxa"/>
            <w:tcBorders>
              <w:top w:val="nil"/>
              <w:left w:val="nil"/>
              <w:bottom w:val="nil"/>
              <w:right w:val="nil"/>
            </w:tcBorders>
            <w:shd w:val="clear" w:color="auto" w:fill="auto"/>
            <w:noWrap/>
            <w:vAlign w:val="bottom"/>
            <w:hideMark/>
          </w:tcPr>
          <w:p w14:paraId="410CE3F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[-0.798]</w:t>
            </w:r>
          </w:p>
        </w:tc>
      </w:tr>
      <w:tr w:rsidR="00354E1E" w:rsidRPr="00354E1E" w14:paraId="043FC18B"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3C8584F2"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ANNUAL RETURNS</w:t>
            </w:r>
          </w:p>
        </w:tc>
        <w:tc>
          <w:tcPr>
            <w:tcW w:w="1580" w:type="dxa"/>
            <w:tcBorders>
              <w:top w:val="nil"/>
              <w:left w:val="nil"/>
              <w:bottom w:val="nil"/>
              <w:right w:val="nil"/>
            </w:tcBorders>
            <w:shd w:val="clear" w:color="auto" w:fill="auto"/>
            <w:noWrap/>
            <w:vAlign w:val="bottom"/>
            <w:hideMark/>
          </w:tcPr>
          <w:p w14:paraId="59C8C896"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0.405</w:t>
            </w:r>
          </w:p>
        </w:tc>
        <w:tc>
          <w:tcPr>
            <w:tcW w:w="1417" w:type="dxa"/>
            <w:tcBorders>
              <w:top w:val="nil"/>
              <w:left w:val="nil"/>
              <w:bottom w:val="nil"/>
              <w:right w:val="nil"/>
            </w:tcBorders>
            <w:shd w:val="clear" w:color="auto" w:fill="auto"/>
            <w:noWrap/>
            <w:vAlign w:val="bottom"/>
            <w:hideMark/>
          </w:tcPr>
          <w:p w14:paraId="06C4028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0.242</w:t>
            </w:r>
          </w:p>
        </w:tc>
        <w:tc>
          <w:tcPr>
            <w:tcW w:w="1418" w:type="dxa"/>
            <w:tcBorders>
              <w:top w:val="nil"/>
              <w:left w:val="nil"/>
              <w:bottom w:val="nil"/>
              <w:right w:val="nil"/>
            </w:tcBorders>
            <w:shd w:val="clear" w:color="auto" w:fill="auto"/>
            <w:noWrap/>
            <w:vAlign w:val="bottom"/>
            <w:hideMark/>
          </w:tcPr>
          <w:p w14:paraId="28A2AFD2"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0.331</w:t>
            </w:r>
          </w:p>
        </w:tc>
      </w:tr>
      <w:tr w:rsidR="00354E1E" w:rsidRPr="00354E1E" w14:paraId="76DFAF19"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1CF09218"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E08ACEF"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[1.072]</w:t>
            </w:r>
          </w:p>
        </w:tc>
        <w:tc>
          <w:tcPr>
            <w:tcW w:w="1417" w:type="dxa"/>
            <w:tcBorders>
              <w:top w:val="nil"/>
              <w:left w:val="nil"/>
              <w:bottom w:val="nil"/>
              <w:right w:val="nil"/>
            </w:tcBorders>
            <w:shd w:val="clear" w:color="auto" w:fill="auto"/>
            <w:noWrap/>
            <w:vAlign w:val="bottom"/>
            <w:hideMark/>
          </w:tcPr>
          <w:p w14:paraId="4DDF095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[0.520]</w:t>
            </w:r>
          </w:p>
        </w:tc>
        <w:tc>
          <w:tcPr>
            <w:tcW w:w="1418" w:type="dxa"/>
            <w:tcBorders>
              <w:top w:val="nil"/>
              <w:left w:val="nil"/>
              <w:bottom w:val="nil"/>
              <w:right w:val="nil"/>
            </w:tcBorders>
            <w:shd w:val="clear" w:color="auto" w:fill="auto"/>
            <w:noWrap/>
            <w:vAlign w:val="bottom"/>
            <w:hideMark/>
          </w:tcPr>
          <w:p w14:paraId="00772C00"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[0.845]</w:t>
            </w:r>
          </w:p>
        </w:tc>
      </w:tr>
      <w:tr w:rsidR="00354E1E" w:rsidRPr="00354E1E" w14:paraId="762DAAD2"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7E4D4DA3"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STD DEV RETURNS</w:t>
            </w:r>
          </w:p>
        </w:tc>
        <w:tc>
          <w:tcPr>
            <w:tcW w:w="1580" w:type="dxa"/>
            <w:tcBorders>
              <w:top w:val="nil"/>
              <w:left w:val="nil"/>
              <w:bottom w:val="nil"/>
              <w:right w:val="nil"/>
            </w:tcBorders>
            <w:shd w:val="clear" w:color="auto" w:fill="auto"/>
            <w:noWrap/>
            <w:vAlign w:val="bottom"/>
            <w:hideMark/>
          </w:tcPr>
          <w:p w14:paraId="3470F400"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-0.478</w:t>
            </w:r>
          </w:p>
        </w:tc>
        <w:tc>
          <w:tcPr>
            <w:tcW w:w="1417" w:type="dxa"/>
            <w:tcBorders>
              <w:top w:val="nil"/>
              <w:left w:val="nil"/>
              <w:bottom w:val="nil"/>
              <w:right w:val="nil"/>
            </w:tcBorders>
            <w:shd w:val="clear" w:color="auto" w:fill="auto"/>
            <w:noWrap/>
            <w:vAlign w:val="bottom"/>
            <w:hideMark/>
          </w:tcPr>
          <w:p w14:paraId="6C4D6F73"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1.495</w:t>
            </w:r>
          </w:p>
        </w:tc>
        <w:tc>
          <w:tcPr>
            <w:tcW w:w="1418" w:type="dxa"/>
            <w:tcBorders>
              <w:top w:val="nil"/>
              <w:left w:val="nil"/>
              <w:bottom w:val="nil"/>
              <w:right w:val="nil"/>
            </w:tcBorders>
            <w:shd w:val="clear" w:color="auto" w:fill="auto"/>
            <w:noWrap/>
            <w:vAlign w:val="bottom"/>
            <w:hideMark/>
          </w:tcPr>
          <w:p w14:paraId="71B98B9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-0.412</w:t>
            </w:r>
          </w:p>
        </w:tc>
      </w:tr>
      <w:tr w:rsidR="00354E1E" w:rsidRPr="00354E1E" w14:paraId="11C465D3"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50FF41AF"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0D5152D"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[-0.095]</w:t>
            </w:r>
          </w:p>
        </w:tc>
        <w:tc>
          <w:tcPr>
            <w:tcW w:w="1417" w:type="dxa"/>
            <w:tcBorders>
              <w:top w:val="nil"/>
              <w:left w:val="nil"/>
              <w:bottom w:val="nil"/>
              <w:right w:val="nil"/>
            </w:tcBorders>
            <w:shd w:val="clear" w:color="auto" w:fill="auto"/>
            <w:noWrap/>
            <w:vAlign w:val="bottom"/>
            <w:hideMark/>
          </w:tcPr>
          <w:p w14:paraId="199A4D92"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[0.313]</w:t>
            </w:r>
          </w:p>
        </w:tc>
        <w:tc>
          <w:tcPr>
            <w:tcW w:w="1418" w:type="dxa"/>
            <w:tcBorders>
              <w:top w:val="nil"/>
              <w:left w:val="nil"/>
              <w:bottom w:val="nil"/>
              <w:right w:val="nil"/>
            </w:tcBorders>
            <w:shd w:val="clear" w:color="auto" w:fill="auto"/>
            <w:noWrap/>
            <w:vAlign w:val="bottom"/>
            <w:hideMark/>
          </w:tcPr>
          <w:p w14:paraId="4F9E94EF"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[-0.079]</w:t>
            </w:r>
          </w:p>
        </w:tc>
      </w:tr>
      <w:tr w:rsidR="00354E1E" w:rsidRPr="00354E1E" w14:paraId="3CAD649F"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368310B1" w14:textId="77777777" w:rsidR="00354E1E" w:rsidRPr="00354E1E" w:rsidRDefault="00354E1E" w:rsidP="00354E1E">
            <w:pPr>
              <w:rPr>
                <w:rFonts w:ascii="Times New Roman" w:eastAsia="Times New Roman" w:hAnsi="Times New Roman" w:cs="Times New Roman"/>
                <w:i/>
                <w:iCs/>
                <w:color w:val="000000"/>
                <w:sz w:val="20"/>
                <w:szCs w:val="20"/>
              </w:rPr>
            </w:pPr>
            <w:r w:rsidRPr="00354E1E">
              <w:rPr>
                <w:rFonts w:ascii="Times New Roman" w:eastAsia="Times New Roman" w:hAnsi="Times New Roman" w:cs="Times New Roman"/>
                <w:i/>
                <w:iCs/>
                <w:color w:val="000000"/>
                <w:sz w:val="20"/>
                <w:szCs w:val="20"/>
              </w:rPr>
              <w:t>% INDEPENDENT DIRECTORS</w:t>
            </w:r>
          </w:p>
        </w:tc>
        <w:tc>
          <w:tcPr>
            <w:tcW w:w="1580" w:type="dxa"/>
            <w:tcBorders>
              <w:top w:val="nil"/>
              <w:left w:val="nil"/>
              <w:bottom w:val="nil"/>
              <w:right w:val="nil"/>
            </w:tcBorders>
            <w:shd w:val="clear" w:color="auto" w:fill="auto"/>
            <w:noWrap/>
            <w:vAlign w:val="bottom"/>
            <w:hideMark/>
          </w:tcPr>
          <w:p w14:paraId="4E693CF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-3.448**</w:t>
            </w:r>
          </w:p>
        </w:tc>
        <w:tc>
          <w:tcPr>
            <w:tcW w:w="1417" w:type="dxa"/>
            <w:tcBorders>
              <w:top w:val="nil"/>
              <w:left w:val="nil"/>
              <w:bottom w:val="nil"/>
              <w:right w:val="nil"/>
            </w:tcBorders>
            <w:shd w:val="clear" w:color="auto" w:fill="auto"/>
            <w:noWrap/>
            <w:vAlign w:val="bottom"/>
            <w:hideMark/>
          </w:tcPr>
          <w:p w14:paraId="3655C7F2"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-2.970*</w:t>
            </w:r>
          </w:p>
        </w:tc>
        <w:tc>
          <w:tcPr>
            <w:tcW w:w="1418" w:type="dxa"/>
            <w:tcBorders>
              <w:top w:val="nil"/>
              <w:left w:val="nil"/>
              <w:bottom w:val="nil"/>
              <w:right w:val="nil"/>
            </w:tcBorders>
            <w:shd w:val="clear" w:color="auto" w:fill="auto"/>
            <w:noWrap/>
            <w:vAlign w:val="bottom"/>
            <w:hideMark/>
          </w:tcPr>
          <w:p w14:paraId="13E4696E"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-3.196*</w:t>
            </w:r>
          </w:p>
        </w:tc>
      </w:tr>
      <w:tr w:rsidR="00354E1E" w:rsidRPr="00354E1E" w14:paraId="650D688B"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62FA026C"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03B0D97"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[-1.967]</w:t>
            </w:r>
          </w:p>
        </w:tc>
        <w:tc>
          <w:tcPr>
            <w:tcW w:w="1417" w:type="dxa"/>
            <w:tcBorders>
              <w:top w:val="nil"/>
              <w:left w:val="nil"/>
              <w:bottom w:val="nil"/>
              <w:right w:val="nil"/>
            </w:tcBorders>
            <w:shd w:val="clear" w:color="auto" w:fill="auto"/>
            <w:noWrap/>
            <w:vAlign w:val="bottom"/>
            <w:hideMark/>
          </w:tcPr>
          <w:p w14:paraId="448505D7"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[-1.684]</w:t>
            </w:r>
          </w:p>
        </w:tc>
        <w:tc>
          <w:tcPr>
            <w:tcW w:w="1418" w:type="dxa"/>
            <w:tcBorders>
              <w:top w:val="nil"/>
              <w:left w:val="nil"/>
              <w:bottom w:val="nil"/>
              <w:right w:val="nil"/>
            </w:tcBorders>
            <w:shd w:val="clear" w:color="auto" w:fill="auto"/>
            <w:noWrap/>
            <w:vAlign w:val="bottom"/>
            <w:hideMark/>
          </w:tcPr>
          <w:p w14:paraId="3E3DD47C"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[-1.733]</w:t>
            </w:r>
          </w:p>
        </w:tc>
      </w:tr>
      <w:tr w:rsidR="00354E1E" w:rsidRPr="00354E1E" w14:paraId="323B1B1A" w14:textId="77777777" w:rsidTr="00E3638B">
        <w:trPr>
          <w:trHeight w:val="300"/>
          <w:jc w:val="center"/>
        </w:trPr>
        <w:tc>
          <w:tcPr>
            <w:tcW w:w="3240" w:type="dxa"/>
            <w:tcBorders>
              <w:top w:val="nil"/>
              <w:left w:val="nil"/>
              <w:bottom w:val="nil"/>
              <w:right w:val="nil"/>
            </w:tcBorders>
            <w:shd w:val="clear" w:color="auto" w:fill="auto"/>
            <w:noWrap/>
            <w:vAlign w:val="bottom"/>
            <w:hideMark/>
          </w:tcPr>
          <w:p w14:paraId="4E7091FC" w14:textId="77777777" w:rsidR="00354E1E" w:rsidRPr="00354E1E" w:rsidRDefault="00354E1E" w:rsidP="00354E1E">
            <w:pPr>
              <w:jc w:val="center"/>
              <w:rPr>
                <w:rFonts w:ascii="Times New Roman" w:eastAsia="Times New Roman" w:hAnsi="Times New Roman"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F27960D" w14:textId="77777777" w:rsidR="00354E1E" w:rsidRPr="00354E1E" w:rsidRDefault="00354E1E" w:rsidP="00354E1E">
            <w:pPr>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0CB4561B" w14:textId="77777777" w:rsidR="00354E1E" w:rsidRPr="00354E1E" w:rsidRDefault="00354E1E" w:rsidP="00354E1E">
            <w:pPr>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7D57F411" w14:textId="77777777" w:rsidR="00354E1E" w:rsidRPr="00354E1E" w:rsidRDefault="00354E1E" w:rsidP="00354E1E">
            <w:pPr>
              <w:jc w:val="center"/>
              <w:rPr>
                <w:rFonts w:ascii="Times New Roman" w:eastAsia="Times New Roman" w:hAnsi="Times New Roman" w:cs="Times New Roman"/>
                <w:sz w:val="20"/>
                <w:szCs w:val="20"/>
              </w:rPr>
            </w:pPr>
          </w:p>
        </w:tc>
      </w:tr>
      <w:tr w:rsidR="00354E1E" w:rsidRPr="00354E1E" w14:paraId="56AFA8D5" w14:textId="77777777" w:rsidTr="00E3638B">
        <w:trPr>
          <w:trHeight w:val="300"/>
          <w:jc w:val="center"/>
        </w:trPr>
        <w:tc>
          <w:tcPr>
            <w:tcW w:w="3240" w:type="dxa"/>
            <w:tcBorders>
              <w:top w:val="nil"/>
              <w:left w:val="nil"/>
              <w:bottom w:val="single" w:sz="4" w:space="0" w:color="auto"/>
              <w:right w:val="nil"/>
            </w:tcBorders>
            <w:shd w:val="clear" w:color="auto" w:fill="auto"/>
            <w:noWrap/>
            <w:vAlign w:val="bottom"/>
            <w:hideMark/>
          </w:tcPr>
          <w:p w14:paraId="208B6FB7" w14:textId="77777777" w:rsidR="00354E1E" w:rsidRPr="00354E1E" w:rsidRDefault="00354E1E" w:rsidP="00354E1E">
            <w:pP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Observations</w:t>
            </w:r>
          </w:p>
        </w:tc>
        <w:tc>
          <w:tcPr>
            <w:tcW w:w="1580" w:type="dxa"/>
            <w:tcBorders>
              <w:top w:val="nil"/>
              <w:left w:val="nil"/>
              <w:bottom w:val="single" w:sz="4" w:space="0" w:color="auto"/>
              <w:right w:val="nil"/>
            </w:tcBorders>
            <w:shd w:val="clear" w:color="auto" w:fill="auto"/>
            <w:noWrap/>
            <w:vAlign w:val="bottom"/>
            <w:hideMark/>
          </w:tcPr>
          <w:p w14:paraId="40B165CD"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376</w:t>
            </w:r>
          </w:p>
        </w:tc>
        <w:tc>
          <w:tcPr>
            <w:tcW w:w="1417" w:type="dxa"/>
            <w:tcBorders>
              <w:top w:val="nil"/>
              <w:left w:val="nil"/>
              <w:bottom w:val="single" w:sz="4" w:space="0" w:color="auto"/>
              <w:right w:val="nil"/>
            </w:tcBorders>
            <w:shd w:val="clear" w:color="auto" w:fill="auto"/>
            <w:noWrap/>
            <w:vAlign w:val="bottom"/>
            <w:hideMark/>
          </w:tcPr>
          <w:p w14:paraId="709B384B"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375</w:t>
            </w:r>
          </w:p>
        </w:tc>
        <w:tc>
          <w:tcPr>
            <w:tcW w:w="1418" w:type="dxa"/>
            <w:tcBorders>
              <w:top w:val="nil"/>
              <w:left w:val="nil"/>
              <w:bottom w:val="single" w:sz="4" w:space="0" w:color="auto"/>
              <w:right w:val="nil"/>
            </w:tcBorders>
            <w:shd w:val="clear" w:color="auto" w:fill="auto"/>
            <w:noWrap/>
            <w:vAlign w:val="bottom"/>
            <w:hideMark/>
          </w:tcPr>
          <w:p w14:paraId="0DCB98C0" w14:textId="77777777" w:rsidR="00354E1E" w:rsidRPr="00354E1E" w:rsidRDefault="00354E1E" w:rsidP="00354E1E">
            <w:pPr>
              <w:jc w:val="center"/>
              <w:rPr>
                <w:rFonts w:ascii="Times New Roman" w:eastAsia="Times New Roman" w:hAnsi="Times New Roman" w:cs="Times New Roman"/>
                <w:color w:val="000000"/>
                <w:sz w:val="20"/>
                <w:szCs w:val="20"/>
              </w:rPr>
            </w:pPr>
            <w:r w:rsidRPr="00354E1E">
              <w:rPr>
                <w:rFonts w:ascii="Times New Roman" w:eastAsia="Times New Roman" w:hAnsi="Times New Roman" w:cs="Times New Roman"/>
                <w:color w:val="000000"/>
                <w:sz w:val="20"/>
                <w:szCs w:val="20"/>
              </w:rPr>
              <w:t>375</w:t>
            </w:r>
          </w:p>
        </w:tc>
      </w:tr>
    </w:tbl>
    <w:p w14:paraId="7DE5EC8A" w14:textId="7959B65E" w:rsidR="00354E1E" w:rsidRDefault="00354E1E" w:rsidP="00E60E8A">
      <w:pPr>
        <w:spacing w:line="480" w:lineRule="auto"/>
        <w:jc w:val="both"/>
        <w:rPr>
          <w:sz w:val="24"/>
        </w:rPr>
      </w:pPr>
    </w:p>
    <w:p w14:paraId="01B62F1C" w14:textId="4539FB7F" w:rsidR="00354E1E" w:rsidRDefault="00354E1E">
      <w:pPr>
        <w:jc w:val="both"/>
        <w:rPr>
          <w:sz w:val="24"/>
        </w:rPr>
      </w:pPr>
      <w:r>
        <w:rPr>
          <w:sz w:val="24"/>
        </w:rPr>
        <w:br w:type="page"/>
      </w:r>
    </w:p>
    <w:p w14:paraId="4C23FEDA" w14:textId="33EFECCD" w:rsidR="002B3278" w:rsidRDefault="002B3278" w:rsidP="0057453C">
      <w:pPr>
        <w:spacing w:line="480" w:lineRule="auto"/>
        <w:jc w:val="center"/>
        <w:rPr>
          <w:b/>
          <w:sz w:val="24"/>
        </w:rPr>
      </w:pPr>
      <w:r>
        <w:rPr>
          <w:rFonts w:hint="eastAsia"/>
          <w:b/>
          <w:sz w:val="24"/>
        </w:rPr>
        <w:lastRenderedPageBreak/>
        <w:t>T</w:t>
      </w:r>
      <w:r>
        <w:rPr>
          <w:b/>
          <w:sz w:val="24"/>
        </w:rPr>
        <w:t>able 6 Disclosure and Future Profitability</w:t>
      </w:r>
    </w:p>
    <w:p w14:paraId="6D7A4D23" w14:textId="0323FFE1" w:rsidR="002B3278" w:rsidRDefault="002B3278" w:rsidP="002B3278">
      <w:pPr>
        <w:jc w:val="both"/>
        <w:rPr>
          <w:sz w:val="20"/>
          <w:szCs w:val="20"/>
        </w:rPr>
      </w:pPr>
      <w:r>
        <w:rPr>
          <w:sz w:val="20"/>
          <w:szCs w:val="20"/>
        </w:rPr>
        <w:t xml:space="preserve">This table reports the results from OLS regressions of future profitability on measures of information disclosure of proposed RPTs. The unit of observation is a RPT resolution which requires approval by disinterested shareholders. Dependent variables are ROA in year t+1. Variables are defined in Appendix B. ***, ** and * indicate the estimated coefficients are statistically significant at 1%, 5% and 10% level, respectively, based on two-tailed tests. </w:t>
      </w:r>
    </w:p>
    <w:p w14:paraId="192F292B" w14:textId="77777777" w:rsidR="002B3278" w:rsidRDefault="002B3278" w:rsidP="002B3278">
      <w:pPr>
        <w:jc w:val="both"/>
        <w:rPr>
          <w:b/>
          <w:sz w:val="24"/>
        </w:rPr>
      </w:pPr>
    </w:p>
    <w:tbl>
      <w:tblPr>
        <w:tblW w:w="9087" w:type="dxa"/>
        <w:tblLook w:val="04A0" w:firstRow="1" w:lastRow="0" w:firstColumn="1" w:lastColumn="0" w:noHBand="0" w:noVBand="1"/>
      </w:tblPr>
      <w:tblGrid>
        <w:gridCol w:w="2127"/>
        <w:gridCol w:w="1160"/>
        <w:gridCol w:w="1160"/>
        <w:gridCol w:w="1160"/>
        <w:gridCol w:w="1160"/>
        <w:gridCol w:w="1160"/>
        <w:gridCol w:w="1160"/>
      </w:tblGrid>
      <w:tr w:rsidR="002B3278" w:rsidRPr="002B3278" w14:paraId="771E6737" w14:textId="77777777" w:rsidTr="0057453C">
        <w:trPr>
          <w:trHeight w:val="255"/>
        </w:trPr>
        <w:tc>
          <w:tcPr>
            <w:tcW w:w="2127" w:type="dxa"/>
            <w:tcBorders>
              <w:top w:val="single" w:sz="4" w:space="0" w:color="auto"/>
              <w:left w:val="nil"/>
              <w:right w:val="nil"/>
            </w:tcBorders>
            <w:shd w:val="clear" w:color="auto" w:fill="auto"/>
            <w:noWrap/>
            <w:vAlign w:val="bottom"/>
            <w:hideMark/>
          </w:tcPr>
          <w:p w14:paraId="6E6F8A3B"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single" w:sz="4" w:space="0" w:color="auto"/>
              <w:left w:val="nil"/>
              <w:right w:val="nil"/>
            </w:tcBorders>
            <w:shd w:val="clear" w:color="auto" w:fill="auto"/>
            <w:noWrap/>
            <w:vAlign w:val="bottom"/>
            <w:hideMark/>
          </w:tcPr>
          <w:p w14:paraId="4816DE96"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(1)</w:t>
            </w:r>
          </w:p>
        </w:tc>
        <w:tc>
          <w:tcPr>
            <w:tcW w:w="1160" w:type="dxa"/>
            <w:tcBorders>
              <w:top w:val="single" w:sz="4" w:space="0" w:color="auto"/>
              <w:left w:val="nil"/>
              <w:right w:val="nil"/>
            </w:tcBorders>
            <w:shd w:val="clear" w:color="auto" w:fill="auto"/>
            <w:noWrap/>
            <w:vAlign w:val="bottom"/>
            <w:hideMark/>
          </w:tcPr>
          <w:p w14:paraId="306602B9"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(2)</w:t>
            </w:r>
          </w:p>
        </w:tc>
        <w:tc>
          <w:tcPr>
            <w:tcW w:w="1160" w:type="dxa"/>
            <w:tcBorders>
              <w:top w:val="single" w:sz="4" w:space="0" w:color="auto"/>
              <w:left w:val="nil"/>
              <w:right w:val="nil"/>
            </w:tcBorders>
            <w:shd w:val="clear" w:color="auto" w:fill="auto"/>
            <w:noWrap/>
            <w:vAlign w:val="bottom"/>
            <w:hideMark/>
          </w:tcPr>
          <w:p w14:paraId="54835211"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(3)</w:t>
            </w:r>
          </w:p>
        </w:tc>
        <w:tc>
          <w:tcPr>
            <w:tcW w:w="1160" w:type="dxa"/>
            <w:tcBorders>
              <w:top w:val="single" w:sz="4" w:space="0" w:color="auto"/>
              <w:left w:val="nil"/>
              <w:right w:val="nil"/>
            </w:tcBorders>
            <w:shd w:val="clear" w:color="auto" w:fill="auto"/>
            <w:noWrap/>
            <w:vAlign w:val="bottom"/>
            <w:hideMark/>
          </w:tcPr>
          <w:p w14:paraId="4CF02E5E"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(4)</w:t>
            </w:r>
          </w:p>
        </w:tc>
        <w:tc>
          <w:tcPr>
            <w:tcW w:w="1160" w:type="dxa"/>
            <w:tcBorders>
              <w:top w:val="single" w:sz="4" w:space="0" w:color="auto"/>
              <w:left w:val="nil"/>
              <w:right w:val="nil"/>
            </w:tcBorders>
            <w:shd w:val="clear" w:color="auto" w:fill="auto"/>
            <w:noWrap/>
            <w:vAlign w:val="bottom"/>
            <w:hideMark/>
          </w:tcPr>
          <w:p w14:paraId="352F9DF9"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(5)</w:t>
            </w:r>
          </w:p>
        </w:tc>
        <w:tc>
          <w:tcPr>
            <w:tcW w:w="1160" w:type="dxa"/>
            <w:tcBorders>
              <w:top w:val="single" w:sz="4" w:space="0" w:color="auto"/>
              <w:left w:val="nil"/>
              <w:right w:val="nil"/>
            </w:tcBorders>
            <w:shd w:val="clear" w:color="auto" w:fill="auto"/>
            <w:noWrap/>
            <w:vAlign w:val="bottom"/>
            <w:hideMark/>
          </w:tcPr>
          <w:p w14:paraId="7ECC1A6B" w14:textId="77777777" w:rsidR="002B3278" w:rsidRPr="002B3278" w:rsidRDefault="002B3278" w:rsidP="002B3278">
            <w:pPr>
              <w:jc w:val="center"/>
              <w:rPr>
                <w:rFonts w:ascii="Times New Roman" w:eastAsia="Times New Roman" w:hAnsi="Times New Roman" w:cs="Times New Roman"/>
                <w:b/>
                <w:bCs/>
                <w:sz w:val="20"/>
                <w:szCs w:val="20"/>
              </w:rPr>
            </w:pPr>
            <w:r w:rsidRPr="002B3278">
              <w:rPr>
                <w:rFonts w:ascii="Times New Roman" w:eastAsia="Times New Roman" w:hAnsi="Times New Roman" w:cs="Times New Roman"/>
                <w:b/>
                <w:bCs/>
                <w:sz w:val="20"/>
                <w:szCs w:val="20"/>
              </w:rPr>
              <w:t>(6)</w:t>
            </w:r>
          </w:p>
        </w:tc>
      </w:tr>
      <w:tr w:rsidR="00681440" w:rsidRPr="002B3278" w14:paraId="0B2E4D79" w14:textId="77777777" w:rsidTr="0057453C">
        <w:trPr>
          <w:trHeight w:val="255"/>
        </w:trPr>
        <w:tc>
          <w:tcPr>
            <w:tcW w:w="2127" w:type="dxa"/>
            <w:tcBorders>
              <w:left w:val="nil"/>
              <w:bottom w:val="nil"/>
              <w:right w:val="nil"/>
            </w:tcBorders>
            <w:shd w:val="clear" w:color="auto" w:fill="auto"/>
            <w:noWrap/>
            <w:vAlign w:val="bottom"/>
          </w:tcPr>
          <w:p w14:paraId="42F0B218" w14:textId="77777777" w:rsidR="00681440" w:rsidRPr="0057453C" w:rsidRDefault="00681440" w:rsidP="002B3278">
            <w:pPr>
              <w:rPr>
                <w:rFonts w:ascii="Times New Roman" w:eastAsia="Times New Roman" w:hAnsi="Times New Roman" w:cs="Times New Roman"/>
                <w:b/>
                <w:sz w:val="20"/>
                <w:szCs w:val="20"/>
              </w:rPr>
            </w:pPr>
          </w:p>
        </w:tc>
        <w:tc>
          <w:tcPr>
            <w:tcW w:w="6960" w:type="dxa"/>
            <w:gridSpan w:val="6"/>
            <w:tcBorders>
              <w:left w:val="nil"/>
              <w:bottom w:val="single" w:sz="4" w:space="0" w:color="auto"/>
              <w:right w:val="nil"/>
            </w:tcBorders>
            <w:shd w:val="clear" w:color="auto" w:fill="auto"/>
            <w:noWrap/>
            <w:vAlign w:val="bottom"/>
          </w:tcPr>
          <w:p w14:paraId="21887647" w14:textId="06830688" w:rsidR="00681440" w:rsidRPr="00530C1B" w:rsidRDefault="00681440" w:rsidP="002B3278">
            <w:pPr>
              <w:jc w:val="center"/>
              <w:rPr>
                <w:rFonts w:ascii="Times New Roman" w:eastAsia="Times New Roman" w:hAnsi="Times New Roman" w:cs="Times New Roman"/>
                <w:b/>
                <w:bCs/>
                <w:sz w:val="20"/>
                <w:szCs w:val="20"/>
              </w:rPr>
            </w:pPr>
            <w:r w:rsidRPr="00530C1B">
              <w:rPr>
                <w:rFonts w:ascii="Times New Roman" w:eastAsia="Times New Roman" w:hAnsi="Times New Roman" w:cs="Times New Roman"/>
                <w:b/>
                <w:bCs/>
                <w:sz w:val="20"/>
                <w:szCs w:val="20"/>
              </w:rPr>
              <w:t>ROA(t+1)</w:t>
            </w:r>
          </w:p>
        </w:tc>
      </w:tr>
      <w:tr w:rsidR="002B3278" w:rsidRPr="002B3278" w14:paraId="0870E783" w14:textId="77777777" w:rsidTr="002B3278">
        <w:trPr>
          <w:trHeight w:val="255"/>
        </w:trPr>
        <w:tc>
          <w:tcPr>
            <w:tcW w:w="2127" w:type="dxa"/>
            <w:tcBorders>
              <w:top w:val="single" w:sz="4" w:space="0" w:color="auto"/>
              <w:left w:val="nil"/>
              <w:bottom w:val="nil"/>
              <w:right w:val="nil"/>
            </w:tcBorders>
            <w:shd w:val="clear" w:color="auto" w:fill="auto"/>
            <w:noWrap/>
            <w:vAlign w:val="bottom"/>
            <w:hideMark/>
          </w:tcPr>
          <w:p w14:paraId="6FFB87B8"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1F929655"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559DF15A"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2740E58F"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7FB36CF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2167837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c>
          <w:tcPr>
            <w:tcW w:w="1160" w:type="dxa"/>
            <w:tcBorders>
              <w:top w:val="nil"/>
              <w:left w:val="nil"/>
              <w:bottom w:val="nil"/>
              <w:right w:val="nil"/>
            </w:tcBorders>
            <w:shd w:val="clear" w:color="auto" w:fill="auto"/>
            <w:noWrap/>
            <w:vAlign w:val="bottom"/>
            <w:hideMark/>
          </w:tcPr>
          <w:p w14:paraId="1B2C2AC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 </w:t>
            </w:r>
          </w:p>
        </w:tc>
      </w:tr>
      <w:tr w:rsidR="002B3278" w:rsidRPr="002B3278" w14:paraId="3689F66B" w14:textId="77777777" w:rsidTr="002B3278">
        <w:trPr>
          <w:trHeight w:val="255"/>
        </w:trPr>
        <w:tc>
          <w:tcPr>
            <w:tcW w:w="2127" w:type="dxa"/>
            <w:tcBorders>
              <w:top w:val="nil"/>
              <w:left w:val="nil"/>
              <w:bottom w:val="nil"/>
              <w:right w:val="nil"/>
            </w:tcBorders>
            <w:shd w:val="clear" w:color="auto" w:fill="auto"/>
            <w:noWrap/>
            <w:vAlign w:val="bottom"/>
            <w:hideMark/>
          </w:tcPr>
          <w:p w14:paraId="6E6E454F" w14:textId="77777777"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FOG</w:t>
            </w:r>
          </w:p>
        </w:tc>
        <w:tc>
          <w:tcPr>
            <w:tcW w:w="1160" w:type="dxa"/>
            <w:tcBorders>
              <w:top w:val="nil"/>
              <w:left w:val="nil"/>
              <w:bottom w:val="nil"/>
              <w:right w:val="nil"/>
            </w:tcBorders>
            <w:shd w:val="clear" w:color="auto" w:fill="auto"/>
            <w:noWrap/>
            <w:vAlign w:val="bottom"/>
            <w:hideMark/>
          </w:tcPr>
          <w:p w14:paraId="1765D4CC"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c>
          <w:tcPr>
            <w:tcW w:w="1160" w:type="dxa"/>
            <w:tcBorders>
              <w:top w:val="nil"/>
              <w:left w:val="nil"/>
              <w:bottom w:val="nil"/>
              <w:right w:val="nil"/>
            </w:tcBorders>
            <w:shd w:val="clear" w:color="auto" w:fill="auto"/>
            <w:noWrap/>
            <w:vAlign w:val="bottom"/>
            <w:hideMark/>
          </w:tcPr>
          <w:p w14:paraId="38A15B9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c>
          <w:tcPr>
            <w:tcW w:w="1160" w:type="dxa"/>
            <w:tcBorders>
              <w:top w:val="nil"/>
              <w:left w:val="nil"/>
              <w:bottom w:val="nil"/>
              <w:right w:val="nil"/>
            </w:tcBorders>
            <w:shd w:val="clear" w:color="auto" w:fill="auto"/>
            <w:noWrap/>
            <w:vAlign w:val="bottom"/>
            <w:hideMark/>
          </w:tcPr>
          <w:p w14:paraId="2142B221"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6B85769"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8FE0C3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c>
          <w:tcPr>
            <w:tcW w:w="1160" w:type="dxa"/>
            <w:tcBorders>
              <w:top w:val="nil"/>
              <w:left w:val="nil"/>
              <w:bottom w:val="nil"/>
              <w:right w:val="nil"/>
            </w:tcBorders>
            <w:shd w:val="clear" w:color="auto" w:fill="auto"/>
            <w:noWrap/>
            <w:vAlign w:val="bottom"/>
            <w:hideMark/>
          </w:tcPr>
          <w:p w14:paraId="0526A4B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r>
      <w:tr w:rsidR="002B3278" w:rsidRPr="002B3278" w14:paraId="72B68B7A" w14:textId="77777777" w:rsidTr="002B3278">
        <w:trPr>
          <w:trHeight w:val="255"/>
        </w:trPr>
        <w:tc>
          <w:tcPr>
            <w:tcW w:w="2127" w:type="dxa"/>
            <w:tcBorders>
              <w:top w:val="nil"/>
              <w:left w:val="nil"/>
              <w:bottom w:val="nil"/>
              <w:right w:val="nil"/>
            </w:tcBorders>
            <w:shd w:val="clear" w:color="auto" w:fill="auto"/>
            <w:noWrap/>
            <w:vAlign w:val="bottom"/>
            <w:hideMark/>
          </w:tcPr>
          <w:p w14:paraId="65BF3CF6"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4929E4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[0.547]</w:t>
            </w:r>
          </w:p>
        </w:tc>
        <w:tc>
          <w:tcPr>
            <w:tcW w:w="1160" w:type="dxa"/>
            <w:tcBorders>
              <w:top w:val="nil"/>
              <w:left w:val="nil"/>
              <w:bottom w:val="nil"/>
              <w:right w:val="nil"/>
            </w:tcBorders>
            <w:shd w:val="clear" w:color="auto" w:fill="auto"/>
            <w:noWrap/>
            <w:vAlign w:val="bottom"/>
            <w:hideMark/>
          </w:tcPr>
          <w:p w14:paraId="37CE0B3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[-0.091]</w:t>
            </w:r>
          </w:p>
        </w:tc>
        <w:tc>
          <w:tcPr>
            <w:tcW w:w="1160" w:type="dxa"/>
            <w:tcBorders>
              <w:top w:val="nil"/>
              <w:left w:val="nil"/>
              <w:bottom w:val="nil"/>
              <w:right w:val="nil"/>
            </w:tcBorders>
            <w:shd w:val="clear" w:color="auto" w:fill="auto"/>
            <w:noWrap/>
            <w:vAlign w:val="bottom"/>
            <w:hideMark/>
          </w:tcPr>
          <w:p w14:paraId="76920517"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ADA2CB4"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EF1DE36"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[-0.618]</w:t>
            </w:r>
          </w:p>
        </w:tc>
        <w:tc>
          <w:tcPr>
            <w:tcW w:w="1160" w:type="dxa"/>
            <w:tcBorders>
              <w:top w:val="nil"/>
              <w:left w:val="nil"/>
              <w:bottom w:val="nil"/>
              <w:right w:val="nil"/>
            </w:tcBorders>
            <w:shd w:val="clear" w:color="auto" w:fill="auto"/>
            <w:noWrap/>
            <w:vAlign w:val="bottom"/>
            <w:hideMark/>
          </w:tcPr>
          <w:p w14:paraId="1FE6C23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[-1.251]</w:t>
            </w:r>
          </w:p>
        </w:tc>
      </w:tr>
      <w:tr w:rsidR="002B3278" w:rsidRPr="002B3278" w14:paraId="748F202A" w14:textId="77777777" w:rsidTr="002B3278">
        <w:trPr>
          <w:trHeight w:val="255"/>
        </w:trPr>
        <w:tc>
          <w:tcPr>
            <w:tcW w:w="2127" w:type="dxa"/>
            <w:tcBorders>
              <w:top w:val="nil"/>
              <w:left w:val="nil"/>
              <w:bottom w:val="nil"/>
              <w:right w:val="nil"/>
            </w:tcBorders>
            <w:shd w:val="clear" w:color="auto" w:fill="auto"/>
            <w:noWrap/>
            <w:vAlign w:val="bottom"/>
            <w:hideMark/>
          </w:tcPr>
          <w:p w14:paraId="6011C80C" w14:textId="36319F46"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FOG * RPT</w:t>
            </w:r>
          </w:p>
        </w:tc>
        <w:tc>
          <w:tcPr>
            <w:tcW w:w="1160" w:type="dxa"/>
            <w:tcBorders>
              <w:top w:val="nil"/>
              <w:left w:val="nil"/>
              <w:bottom w:val="nil"/>
              <w:right w:val="nil"/>
            </w:tcBorders>
            <w:shd w:val="clear" w:color="auto" w:fill="auto"/>
            <w:noWrap/>
            <w:vAlign w:val="bottom"/>
            <w:hideMark/>
          </w:tcPr>
          <w:p w14:paraId="25345099" w14:textId="77777777" w:rsidR="002B3278" w:rsidRPr="002B3278" w:rsidRDefault="002B3278" w:rsidP="002B3278">
            <w:pPr>
              <w:rPr>
                <w:rFonts w:ascii="Times New Roman" w:eastAsia="Times New Roman" w:hAnsi="Times New Roman" w:cs="Times New Roman"/>
                <w:i/>
                <w:iCs/>
                <w:sz w:val="20"/>
                <w:szCs w:val="20"/>
              </w:rPr>
            </w:pPr>
          </w:p>
        </w:tc>
        <w:tc>
          <w:tcPr>
            <w:tcW w:w="1160" w:type="dxa"/>
            <w:tcBorders>
              <w:top w:val="nil"/>
              <w:left w:val="nil"/>
              <w:bottom w:val="nil"/>
              <w:right w:val="nil"/>
            </w:tcBorders>
            <w:shd w:val="clear" w:color="auto" w:fill="auto"/>
            <w:noWrap/>
            <w:vAlign w:val="bottom"/>
            <w:hideMark/>
          </w:tcPr>
          <w:p w14:paraId="6304C80F"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c>
          <w:tcPr>
            <w:tcW w:w="1160" w:type="dxa"/>
            <w:tcBorders>
              <w:top w:val="nil"/>
              <w:left w:val="nil"/>
              <w:bottom w:val="nil"/>
              <w:right w:val="nil"/>
            </w:tcBorders>
            <w:shd w:val="clear" w:color="auto" w:fill="auto"/>
            <w:noWrap/>
            <w:vAlign w:val="bottom"/>
            <w:hideMark/>
          </w:tcPr>
          <w:p w14:paraId="497BD66B"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EDDA116"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7799725"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EA82B3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0.000</w:t>
            </w:r>
          </w:p>
        </w:tc>
      </w:tr>
      <w:tr w:rsidR="002B3278" w:rsidRPr="002B3278" w14:paraId="7145063D" w14:textId="77777777" w:rsidTr="002B3278">
        <w:trPr>
          <w:trHeight w:val="255"/>
        </w:trPr>
        <w:tc>
          <w:tcPr>
            <w:tcW w:w="2127" w:type="dxa"/>
            <w:tcBorders>
              <w:top w:val="nil"/>
              <w:left w:val="nil"/>
              <w:bottom w:val="nil"/>
              <w:right w:val="nil"/>
            </w:tcBorders>
            <w:shd w:val="clear" w:color="auto" w:fill="auto"/>
            <w:noWrap/>
            <w:vAlign w:val="bottom"/>
            <w:hideMark/>
          </w:tcPr>
          <w:p w14:paraId="31D1F221"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E42B407"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0015AC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[1.300]</w:t>
            </w:r>
          </w:p>
        </w:tc>
        <w:tc>
          <w:tcPr>
            <w:tcW w:w="1160" w:type="dxa"/>
            <w:tcBorders>
              <w:top w:val="nil"/>
              <w:left w:val="nil"/>
              <w:bottom w:val="nil"/>
              <w:right w:val="nil"/>
            </w:tcBorders>
            <w:shd w:val="clear" w:color="auto" w:fill="auto"/>
            <w:noWrap/>
            <w:vAlign w:val="bottom"/>
            <w:hideMark/>
          </w:tcPr>
          <w:p w14:paraId="0F04E6F4"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A1CE3E0"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15EDBEB"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F27B484"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[1.626]</w:t>
            </w:r>
          </w:p>
        </w:tc>
      </w:tr>
      <w:tr w:rsidR="002B3278" w:rsidRPr="002B3278" w14:paraId="694552E7" w14:textId="77777777" w:rsidTr="002B3278">
        <w:trPr>
          <w:trHeight w:val="255"/>
        </w:trPr>
        <w:tc>
          <w:tcPr>
            <w:tcW w:w="2127" w:type="dxa"/>
            <w:tcBorders>
              <w:top w:val="nil"/>
              <w:left w:val="nil"/>
              <w:bottom w:val="nil"/>
              <w:right w:val="nil"/>
            </w:tcBorders>
            <w:shd w:val="clear" w:color="auto" w:fill="auto"/>
            <w:noWrap/>
            <w:vAlign w:val="bottom"/>
            <w:hideMark/>
          </w:tcPr>
          <w:p w14:paraId="000D4DA5" w14:textId="77777777"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TONE</w:t>
            </w:r>
          </w:p>
        </w:tc>
        <w:tc>
          <w:tcPr>
            <w:tcW w:w="1160" w:type="dxa"/>
            <w:tcBorders>
              <w:top w:val="nil"/>
              <w:left w:val="nil"/>
              <w:bottom w:val="nil"/>
              <w:right w:val="nil"/>
            </w:tcBorders>
            <w:shd w:val="clear" w:color="auto" w:fill="auto"/>
            <w:noWrap/>
            <w:vAlign w:val="bottom"/>
            <w:hideMark/>
          </w:tcPr>
          <w:p w14:paraId="1968739B" w14:textId="77777777" w:rsidR="002B3278" w:rsidRPr="002B3278" w:rsidRDefault="002B3278" w:rsidP="002B3278">
            <w:pPr>
              <w:rPr>
                <w:rFonts w:ascii="Times New Roman" w:eastAsia="Times New Roman" w:hAnsi="Times New Roman" w:cs="Times New Roman"/>
                <w:i/>
                <w:iCs/>
                <w:sz w:val="20"/>
                <w:szCs w:val="20"/>
              </w:rPr>
            </w:pPr>
          </w:p>
        </w:tc>
        <w:tc>
          <w:tcPr>
            <w:tcW w:w="1160" w:type="dxa"/>
            <w:tcBorders>
              <w:top w:val="nil"/>
              <w:left w:val="nil"/>
              <w:bottom w:val="nil"/>
              <w:right w:val="nil"/>
            </w:tcBorders>
            <w:shd w:val="clear" w:color="auto" w:fill="auto"/>
            <w:noWrap/>
            <w:vAlign w:val="bottom"/>
            <w:hideMark/>
          </w:tcPr>
          <w:p w14:paraId="5727D1C8"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DA7D04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-0.002</w:t>
            </w:r>
          </w:p>
        </w:tc>
        <w:tc>
          <w:tcPr>
            <w:tcW w:w="1160" w:type="dxa"/>
            <w:tcBorders>
              <w:top w:val="nil"/>
              <w:left w:val="nil"/>
              <w:bottom w:val="nil"/>
              <w:right w:val="nil"/>
            </w:tcBorders>
            <w:shd w:val="clear" w:color="auto" w:fill="auto"/>
            <w:noWrap/>
            <w:vAlign w:val="bottom"/>
            <w:hideMark/>
          </w:tcPr>
          <w:p w14:paraId="19EED7C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7AD9349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-0.002</w:t>
            </w:r>
          </w:p>
        </w:tc>
        <w:tc>
          <w:tcPr>
            <w:tcW w:w="1160" w:type="dxa"/>
            <w:tcBorders>
              <w:top w:val="nil"/>
              <w:left w:val="nil"/>
              <w:bottom w:val="nil"/>
              <w:right w:val="nil"/>
            </w:tcBorders>
            <w:shd w:val="clear" w:color="auto" w:fill="auto"/>
            <w:noWrap/>
            <w:vAlign w:val="bottom"/>
            <w:hideMark/>
          </w:tcPr>
          <w:p w14:paraId="79C3D81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r>
      <w:tr w:rsidR="002B3278" w:rsidRPr="002B3278" w14:paraId="2A39C67A" w14:textId="77777777" w:rsidTr="002B3278">
        <w:trPr>
          <w:trHeight w:val="255"/>
        </w:trPr>
        <w:tc>
          <w:tcPr>
            <w:tcW w:w="2127" w:type="dxa"/>
            <w:tcBorders>
              <w:top w:val="nil"/>
              <w:left w:val="nil"/>
              <w:bottom w:val="nil"/>
              <w:right w:val="nil"/>
            </w:tcBorders>
            <w:shd w:val="clear" w:color="auto" w:fill="auto"/>
            <w:noWrap/>
            <w:vAlign w:val="bottom"/>
            <w:hideMark/>
          </w:tcPr>
          <w:p w14:paraId="238A4774"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AE3F753"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693D7E2"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0CDE3CC"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[-0.387]</w:t>
            </w:r>
          </w:p>
        </w:tc>
        <w:tc>
          <w:tcPr>
            <w:tcW w:w="1160" w:type="dxa"/>
            <w:tcBorders>
              <w:top w:val="nil"/>
              <w:left w:val="nil"/>
              <w:bottom w:val="nil"/>
              <w:right w:val="nil"/>
            </w:tcBorders>
            <w:shd w:val="clear" w:color="auto" w:fill="auto"/>
            <w:noWrap/>
            <w:vAlign w:val="bottom"/>
            <w:hideMark/>
          </w:tcPr>
          <w:p w14:paraId="05A8FC2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[-0.270]</w:t>
            </w:r>
          </w:p>
        </w:tc>
        <w:tc>
          <w:tcPr>
            <w:tcW w:w="1160" w:type="dxa"/>
            <w:tcBorders>
              <w:top w:val="nil"/>
              <w:left w:val="nil"/>
              <w:bottom w:val="nil"/>
              <w:right w:val="nil"/>
            </w:tcBorders>
            <w:shd w:val="clear" w:color="auto" w:fill="auto"/>
            <w:noWrap/>
            <w:vAlign w:val="bottom"/>
            <w:hideMark/>
          </w:tcPr>
          <w:p w14:paraId="3EDD2A7F"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[-0.439]</w:t>
            </w:r>
          </w:p>
        </w:tc>
        <w:tc>
          <w:tcPr>
            <w:tcW w:w="1160" w:type="dxa"/>
            <w:tcBorders>
              <w:top w:val="nil"/>
              <w:left w:val="nil"/>
              <w:bottom w:val="nil"/>
              <w:right w:val="nil"/>
            </w:tcBorders>
            <w:shd w:val="clear" w:color="auto" w:fill="auto"/>
            <w:noWrap/>
            <w:vAlign w:val="bottom"/>
            <w:hideMark/>
          </w:tcPr>
          <w:p w14:paraId="45B41FE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[-0.227]</w:t>
            </w:r>
          </w:p>
        </w:tc>
      </w:tr>
      <w:tr w:rsidR="002B3278" w:rsidRPr="002B3278" w14:paraId="4D513413" w14:textId="77777777" w:rsidTr="002B3278">
        <w:trPr>
          <w:trHeight w:val="255"/>
        </w:trPr>
        <w:tc>
          <w:tcPr>
            <w:tcW w:w="2127" w:type="dxa"/>
            <w:tcBorders>
              <w:top w:val="nil"/>
              <w:left w:val="nil"/>
              <w:bottom w:val="nil"/>
              <w:right w:val="nil"/>
            </w:tcBorders>
            <w:shd w:val="clear" w:color="auto" w:fill="auto"/>
            <w:noWrap/>
            <w:vAlign w:val="bottom"/>
            <w:hideMark/>
          </w:tcPr>
          <w:p w14:paraId="05800812" w14:textId="5CDA16DB"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TONE * RPT</w:t>
            </w:r>
          </w:p>
        </w:tc>
        <w:tc>
          <w:tcPr>
            <w:tcW w:w="1160" w:type="dxa"/>
            <w:tcBorders>
              <w:top w:val="nil"/>
              <w:left w:val="nil"/>
              <w:bottom w:val="nil"/>
              <w:right w:val="nil"/>
            </w:tcBorders>
            <w:shd w:val="clear" w:color="auto" w:fill="auto"/>
            <w:noWrap/>
            <w:vAlign w:val="bottom"/>
            <w:hideMark/>
          </w:tcPr>
          <w:p w14:paraId="1BC25489" w14:textId="77777777" w:rsidR="002B3278" w:rsidRPr="002B3278" w:rsidRDefault="002B3278" w:rsidP="002B3278">
            <w:pPr>
              <w:rPr>
                <w:rFonts w:ascii="Times New Roman" w:eastAsia="Times New Roman" w:hAnsi="Times New Roman" w:cs="Times New Roman"/>
                <w:i/>
                <w:iCs/>
                <w:sz w:val="20"/>
                <w:szCs w:val="20"/>
              </w:rPr>
            </w:pPr>
          </w:p>
        </w:tc>
        <w:tc>
          <w:tcPr>
            <w:tcW w:w="1160" w:type="dxa"/>
            <w:tcBorders>
              <w:top w:val="nil"/>
              <w:left w:val="nil"/>
              <w:bottom w:val="nil"/>
              <w:right w:val="nil"/>
            </w:tcBorders>
            <w:shd w:val="clear" w:color="auto" w:fill="auto"/>
            <w:noWrap/>
            <w:vAlign w:val="bottom"/>
            <w:hideMark/>
          </w:tcPr>
          <w:p w14:paraId="0931D5E1"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7E6BE80"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A27235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5A82CD11"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701DB9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r>
      <w:tr w:rsidR="002B3278" w:rsidRPr="002B3278" w14:paraId="611FDBC2" w14:textId="77777777" w:rsidTr="002B3278">
        <w:trPr>
          <w:trHeight w:val="255"/>
        </w:trPr>
        <w:tc>
          <w:tcPr>
            <w:tcW w:w="2127" w:type="dxa"/>
            <w:tcBorders>
              <w:top w:val="nil"/>
              <w:left w:val="nil"/>
              <w:bottom w:val="nil"/>
              <w:right w:val="nil"/>
            </w:tcBorders>
            <w:shd w:val="clear" w:color="auto" w:fill="auto"/>
            <w:noWrap/>
            <w:vAlign w:val="bottom"/>
            <w:hideMark/>
          </w:tcPr>
          <w:p w14:paraId="3F47940B"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8074D5A"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B2F49FE"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0365603"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F8E888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[-0.461]</w:t>
            </w:r>
          </w:p>
        </w:tc>
        <w:tc>
          <w:tcPr>
            <w:tcW w:w="1160" w:type="dxa"/>
            <w:tcBorders>
              <w:top w:val="nil"/>
              <w:left w:val="nil"/>
              <w:bottom w:val="nil"/>
              <w:right w:val="nil"/>
            </w:tcBorders>
            <w:shd w:val="clear" w:color="auto" w:fill="auto"/>
            <w:noWrap/>
            <w:vAlign w:val="bottom"/>
            <w:hideMark/>
          </w:tcPr>
          <w:p w14:paraId="0A18A246"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E161B3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[-0.773]</w:t>
            </w:r>
          </w:p>
        </w:tc>
      </w:tr>
      <w:tr w:rsidR="002B3278" w:rsidRPr="002B3278" w14:paraId="4AC5F17D" w14:textId="77777777" w:rsidTr="002B3278">
        <w:trPr>
          <w:trHeight w:val="255"/>
        </w:trPr>
        <w:tc>
          <w:tcPr>
            <w:tcW w:w="2127" w:type="dxa"/>
            <w:tcBorders>
              <w:top w:val="nil"/>
              <w:left w:val="nil"/>
              <w:bottom w:val="nil"/>
              <w:right w:val="nil"/>
            </w:tcBorders>
            <w:shd w:val="clear" w:color="auto" w:fill="auto"/>
            <w:noWrap/>
            <w:vAlign w:val="bottom"/>
            <w:hideMark/>
          </w:tcPr>
          <w:p w14:paraId="1E3E9132" w14:textId="415EE737"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RPT</w:t>
            </w:r>
          </w:p>
        </w:tc>
        <w:tc>
          <w:tcPr>
            <w:tcW w:w="1160" w:type="dxa"/>
            <w:tcBorders>
              <w:top w:val="nil"/>
              <w:left w:val="nil"/>
              <w:bottom w:val="nil"/>
              <w:right w:val="nil"/>
            </w:tcBorders>
            <w:shd w:val="clear" w:color="auto" w:fill="auto"/>
            <w:noWrap/>
            <w:vAlign w:val="bottom"/>
            <w:hideMark/>
          </w:tcPr>
          <w:p w14:paraId="6154FE55"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-0.002</w:t>
            </w:r>
          </w:p>
        </w:tc>
        <w:tc>
          <w:tcPr>
            <w:tcW w:w="1160" w:type="dxa"/>
            <w:tcBorders>
              <w:top w:val="nil"/>
              <w:left w:val="nil"/>
              <w:bottom w:val="nil"/>
              <w:right w:val="nil"/>
            </w:tcBorders>
            <w:shd w:val="clear" w:color="auto" w:fill="auto"/>
            <w:noWrap/>
            <w:vAlign w:val="bottom"/>
            <w:hideMark/>
          </w:tcPr>
          <w:p w14:paraId="14ADF48C"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-0.006</w:t>
            </w:r>
          </w:p>
        </w:tc>
        <w:tc>
          <w:tcPr>
            <w:tcW w:w="1160" w:type="dxa"/>
            <w:tcBorders>
              <w:top w:val="nil"/>
              <w:left w:val="nil"/>
              <w:bottom w:val="nil"/>
              <w:right w:val="nil"/>
            </w:tcBorders>
            <w:shd w:val="clear" w:color="auto" w:fill="auto"/>
            <w:noWrap/>
            <w:vAlign w:val="bottom"/>
            <w:hideMark/>
          </w:tcPr>
          <w:p w14:paraId="708B676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2F0A3A9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3675EBC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64E1F02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-0.007*</w:t>
            </w:r>
          </w:p>
        </w:tc>
      </w:tr>
      <w:tr w:rsidR="002B3278" w:rsidRPr="002B3278" w14:paraId="17AC0487" w14:textId="77777777" w:rsidTr="002B3278">
        <w:trPr>
          <w:trHeight w:val="255"/>
        </w:trPr>
        <w:tc>
          <w:tcPr>
            <w:tcW w:w="2127" w:type="dxa"/>
            <w:tcBorders>
              <w:top w:val="nil"/>
              <w:left w:val="nil"/>
              <w:bottom w:val="nil"/>
              <w:right w:val="nil"/>
            </w:tcBorders>
            <w:shd w:val="clear" w:color="auto" w:fill="auto"/>
            <w:noWrap/>
            <w:vAlign w:val="bottom"/>
            <w:hideMark/>
          </w:tcPr>
          <w:p w14:paraId="26CE1789"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B69B56A"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[-1.280]</w:t>
            </w:r>
          </w:p>
        </w:tc>
        <w:tc>
          <w:tcPr>
            <w:tcW w:w="1160" w:type="dxa"/>
            <w:tcBorders>
              <w:top w:val="nil"/>
              <w:left w:val="nil"/>
              <w:bottom w:val="nil"/>
              <w:right w:val="nil"/>
            </w:tcBorders>
            <w:shd w:val="clear" w:color="auto" w:fill="auto"/>
            <w:noWrap/>
            <w:vAlign w:val="bottom"/>
            <w:hideMark/>
          </w:tcPr>
          <w:p w14:paraId="31618AC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[-1.490]</w:t>
            </w:r>
          </w:p>
        </w:tc>
        <w:tc>
          <w:tcPr>
            <w:tcW w:w="1160" w:type="dxa"/>
            <w:tcBorders>
              <w:top w:val="nil"/>
              <w:left w:val="nil"/>
              <w:bottom w:val="nil"/>
              <w:right w:val="nil"/>
            </w:tcBorders>
            <w:shd w:val="clear" w:color="auto" w:fill="auto"/>
            <w:noWrap/>
            <w:vAlign w:val="bottom"/>
            <w:hideMark/>
          </w:tcPr>
          <w:p w14:paraId="061519DC"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[-1.236]</w:t>
            </w:r>
          </w:p>
        </w:tc>
        <w:tc>
          <w:tcPr>
            <w:tcW w:w="1160" w:type="dxa"/>
            <w:tcBorders>
              <w:top w:val="nil"/>
              <w:left w:val="nil"/>
              <w:bottom w:val="nil"/>
              <w:right w:val="nil"/>
            </w:tcBorders>
            <w:shd w:val="clear" w:color="auto" w:fill="auto"/>
            <w:noWrap/>
            <w:vAlign w:val="bottom"/>
            <w:hideMark/>
          </w:tcPr>
          <w:p w14:paraId="728DB72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[-1.268]</w:t>
            </w:r>
          </w:p>
        </w:tc>
        <w:tc>
          <w:tcPr>
            <w:tcW w:w="1160" w:type="dxa"/>
            <w:tcBorders>
              <w:top w:val="nil"/>
              <w:left w:val="nil"/>
              <w:bottom w:val="nil"/>
              <w:right w:val="nil"/>
            </w:tcBorders>
            <w:shd w:val="clear" w:color="auto" w:fill="auto"/>
            <w:noWrap/>
            <w:vAlign w:val="bottom"/>
            <w:hideMark/>
          </w:tcPr>
          <w:p w14:paraId="41B94AA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[-1.218]</w:t>
            </w:r>
          </w:p>
        </w:tc>
        <w:tc>
          <w:tcPr>
            <w:tcW w:w="1160" w:type="dxa"/>
            <w:tcBorders>
              <w:top w:val="nil"/>
              <w:left w:val="nil"/>
              <w:bottom w:val="nil"/>
              <w:right w:val="nil"/>
            </w:tcBorders>
            <w:shd w:val="clear" w:color="auto" w:fill="auto"/>
            <w:noWrap/>
            <w:vAlign w:val="bottom"/>
            <w:hideMark/>
          </w:tcPr>
          <w:p w14:paraId="7C710A7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[-1.753]</w:t>
            </w:r>
          </w:p>
        </w:tc>
      </w:tr>
      <w:tr w:rsidR="002B3278" w:rsidRPr="002B3278" w14:paraId="3DAB2864" w14:textId="77777777" w:rsidTr="002B3278">
        <w:trPr>
          <w:trHeight w:val="255"/>
        </w:trPr>
        <w:tc>
          <w:tcPr>
            <w:tcW w:w="2127" w:type="dxa"/>
            <w:tcBorders>
              <w:top w:val="nil"/>
              <w:left w:val="nil"/>
              <w:bottom w:val="nil"/>
              <w:right w:val="nil"/>
            </w:tcBorders>
            <w:shd w:val="clear" w:color="auto" w:fill="auto"/>
            <w:noWrap/>
            <w:vAlign w:val="bottom"/>
            <w:hideMark/>
          </w:tcPr>
          <w:p w14:paraId="3D365BA0" w14:textId="77777777"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ROA</w:t>
            </w:r>
          </w:p>
        </w:tc>
        <w:tc>
          <w:tcPr>
            <w:tcW w:w="1160" w:type="dxa"/>
            <w:tcBorders>
              <w:top w:val="nil"/>
              <w:left w:val="nil"/>
              <w:bottom w:val="nil"/>
              <w:right w:val="nil"/>
            </w:tcBorders>
            <w:shd w:val="clear" w:color="auto" w:fill="auto"/>
            <w:noWrap/>
            <w:vAlign w:val="bottom"/>
            <w:hideMark/>
          </w:tcPr>
          <w:p w14:paraId="6965E5E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0.818***</w:t>
            </w:r>
          </w:p>
        </w:tc>
        <w:tc>
          <w:tcPr>
            <w:tcW w:w="1160" w:type="dxa"/>
            <w:tcBorders>
              <w:top w:val="nil"/>
              <w:left w:val="nil"/>
              <w:bottom w:val="nil"/>
              <w:right w:val="nil"/>
            </w:tcBorders>
            <w:shd w:val="clear" w:color="auto" w:fill="auto"/>
            <w:noWrap/>
            <w:vAlign w:val="bottom"/>
            <w:hideMark/>
          </w:tcPr>
          <w:p w14:paraId="05310A5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0.822***</w:t>
            </w:r>
          </w:p>
        </w:tc>
        <w:tc>
          <w:tcPr>
            <w:tcW w:w="1160" w:type="dxa"/>
            <w:tcBorders>
              <w:top w:val="nil"/>
              <w:left w:val="nil"/>
              <w:bottom w:val="nil"/>
              <w:right w:val="nil"/>
            </w:tcBorders>
            <w:shd w:val="clear" w:color="auto" w:fill="auto"/>
            <w:noWrap/>
            <w:vAlign w:val="bottom"/>
            <w:hideMark/>
          </w:tcPr>
          <w:p w14:paraId="45673D8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0.816***</w:t>
            </w:r>
          </w:p>
        </w:tc>
        <w:tc>
          <w:tcPr>
            <w:tcW w:w="1160" w:type="dxa"/>
            <w:tcBorders>
              <w:top w:val="nil"/>
              <w:left w:val="nil"/>
              <w:bottom w:val="nil"/>
              <w:right w:val="nil"/>
            </w:tcBorders>
            <w:shd w:val="clear" w:color="auto" w:fill="auto"/>
            <w:noWrap/>
            <w:vAlign w:val="bottom"/>
            <w:hideMark/>
          </w:tcPr>
          <w:p w14:paraId="24B0DA56"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0.816***</w:t>
            </w:r>
          </w:p>
        </w:tc>
        <w:tc>
          <w:tcPr>
            <w:tcW w:w="1160" w:type="dxa"/>
            <w:tcBorders>
              <w:top w:val="nil"/>
              <w:left w:val="nil"/>
              <w:bottom w:val="nil"/>
              <w:right w:val="nil"/>
            </w:tcBorders>
            <w:shd w:val="clear" w:color="auto" w:fill="auto"/>
            <w:noWrap/>
            <w:vAlign w:val="bottom"/>
            <w:hideMark/>
          </w:tcPr>
          <w:p w14:paraId="2FB4CAB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0.816***</w:t>
            </w:r>
          </w:p>
        </w:tc>
        <w:tc>
          <w:tcPr>
            <w:tcW w:w="1160" w:type="dxa"/>
            <w:tcBorders>
              <w:top w:val="nil"/>
              <w:left w:val="nil"/>
              <w:bottom w:val="nil"/>
              <w:right w:val="nil"/>
            </w:tcBorders>
            <w:shd w:val="clear" w:color="auto" w:fill="auto"/>
            <w:noWrap/>
            <w:vAlign w:val="bottom"/>
            <w:hideMark/>
          </w:tcPr>
          <w:p w14:paraId="45D2A906"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0.821***</w:t>
            </w:r>
          </w:p>
        </w:tc>
      </w:tr>
      <w:tr w:rsidR="002B3278" w:rsidRPr="002B3278" w14:paraId="5FFAA978" w14:textId="77777777" w:rsidTr="002B3278">
        <w:trPr>
          <w:trHeight w:val="255"/>
        </w:trPr>
        <w:tc>
          <w:tcPr>
            <w:tcW w:w="2127" w:type="dxa"/>
            <w:tcBorders>
              <w:top w:val="nil"/>
              <w:left w:val="nil"/>
              <w:bottom w:val="nil"/>
              <w:right w:val="nil"/>
            </w:tcBorders>
            <w:shd w:val="clear" w:color="auto" w:fill="auto"/>
            <w:noWrap/>
            <w:vAlign w:val="bottom"/>
            <w:hideMark/>
          </w:tcPr>
          <w:p w14:paraId="6A395CAB"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35A4EBE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[11.628]</w:t>
            </w:r>
          </w:p>
        </w:tc>
        <w:tc>
          <w:tcPr>
            <w:tcW w:w="1160" w:type="dxa"/>
            <w:tcBorders>
              <w:top w:val="nil"/>
              <w:left w:val="nil"/>
              <w:bottom w:val="nil"/>
              <w:right w:val="nil"/>
            </w:tcBorders>
            <w:shd w:val="clear" w:color="auto" w:fill="auto"/>
            <w:noWrap/>
            <w:vAlign w:val="bottom"/>
            <w:hideMark/>
          </w:tcPr>
          <w:p w14:paraId="12F9F5D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[11.641]</w:t>
            </w:r>
          </w:p>
        </w:tc>
        <w:tc>
          <w:tcPr>
            <w:tcW w:w="1160" w:type="dxa"/>
            <w:tcBorders>
              <w:top w:val="nil"/>
              <w:left w:val="nil"/>
              <w:bottom w:val="nil"/>
              <w:right w:val="nil"/>
            </w:tcBorders>
            <w:shd w:val="clear" w:color="auto" w:fill="auto"/>
            <w:noWrap/>
            <w:vAlign w:val="bottom"/>
            <w:hideMark/>
          </w:tcPr>
          <w:p w14:paraId="1A58666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[11.875]</w:t>
            </w:r>
          </w:p>
        </w:tc>
        <w:tc>
          <w:tcPr>
            <w:tcW w:w="1160" w:type="dxa"/>
            <w:tcBorders>
              <w:top w:val="nil"/>
              <w:left w:val="nil"/>
              <w:bottom w:val="nil"/>
              <w:right w:val="nil"/>
            </w:tcBorders>
            <w:shd w:val="clear" w:color="auto" w:fill="auto"/>
            <w:noWrap/>
            <w:vAlign w:val="bottom"/>
            <w:hideMark/>
          </w:tcPr>
          <w:p w14:paraId="4C5CA96C"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[11.866]</w:t>
            </w:r>
          </w:p>
        </w:tc>
        <w:tc>
          <w:tcPr>
            <w:tcW w:w="1160" w:type="dxa"/>
            <w:tcBorders>
              <w:top w:val="nil"/>
              <w:left w:val="nil"/>
              <w:bottom w:val="nil"/>
              <w:right w:val="nil"/>
            </w:tcBorders>
            <w:shd w:val="clear" w:color="auto" w:fill="auto"/>
            <w:noWrap/>
            <w:vAlign w:val="bottom"/>
            <w:hideMark/>
          </w:tcPr>
          <w:p w14:paraId="19DC7CB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[11.827]</w:t>
            </w:r>
          </w:p>
        </w:tc>
        <w:tc>
          <w:tcPr>
            <w:tcW w:w="1160" w:type="dxa"/>
            <w:tcBorders>
              <w:top w:val="nil"/>
              <w:left w:val="nil"/>
              <w:bottom w:val="nil"/>
              <w:right w:val="nil"/>
            </w:tcBorders>
            <w:shd w:val="clear" w:color="auto" w:fill="auto"/>
            <w:noWrap/>
            <w:vAlign w:val="bottom"/>
            <w:hideMark/>
          </w:tcPr>
          <w:p w14:paraId="3AA8275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[11.925]</w:t>
            </w:r>
          </w:p>
        </w:tc>
      </w:tr>
      <w:tr w:rsidR="002B3278" w:rsidRPr="002B3278" w14:paraId="00ED45D5" w14:textId="77777777" w:rsidTr="002B3278">
        <w:trPr>
          <w:trHeight w:val="255"/>
        </w:trPr>
        <w:tc>
          <w:tcPr>
            <w:tcW w:w="2127" w:type="dxa"/>
            <w:tcBorders>
              <w:top w:val="nil"/>
              <w:left w:val="nil"/>
              <w:bottom w:val="nil"/>
              <w:right w:val="nil"/>
            </w:tcBorders>
            <w:shd w:val="clear" w:color="auto" w:fill="auto"/>
            <w:noWrap/>
            <w:vAlign w:val="bottom"/>
            <w:hideMark/>
          </w:tcPr>
          <w:p w14:paraId="2E445183" w14:textId="77777777" w:rsidR="002B3278" w:rsidRPr="002B3278" w:rsidRDefault="002B3278" w:rsidP="002B3278">
            <w:pPr>
              <w:rPr>
                <w:rFonts w:ascii="Times New Roman" w:eastAsia="Times New Roman" w:hAnsi="Times New Roman" w:cs="Times New Roman"/>
                <w:i/>
                <w:iCs/>
                <w:sz w:val="20"/>
                <w:szCs w:val="20"/>
              </w:rPr>
            </w:pPr>
            <w:r w:rsidRPr="002B3278">
              <w:rPr>
                <w:rFonts w:ascii="Times New Roman" w:eastAsia="Times New Roman" w:hAnsi="Times New Roman" w:cs="Times New Roman"/>
                <w:i/>
                <w:iCs/>
                <w:sz w:val="20"/>
                <w:szCs w:val="20"/>
              </w:rPr>
              <w:t>LOG (ASSETS)</w:t>
            </w:r>
          </w:p>
        </w:tc>
        <w:tc>
          <w:tcPr>
            <w:tcW w:w="1160" w:type="dxa"/>
            <w:tcBorders>
              <w:top w:val="nil"/>
              <w:left w:val="nil"/>
              <w:bottom w:val="nil"/>
              <w:right w:val="nil"/>
            </w:tcBorders>
            <w:shd w:val="clear" w:color="auto" w:fill="auto"/>
            <w:noWrap/>
            <w:vAlign w:val="bottom"/>
            <w:hideMark/>
          </w:tcPr>
          <w:p w14:paraId="0DF7DE2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c>
          <w:tcPr>
            <w:tcW w:w="1160" w:type="dxa"/>
            <w:tcBorders>
              <w:top w:val="nil"/>
              <w:left w:val="nil"/>
              <w:bottom w:val="nil"/>
              <w:right w:val="nil"/>
            </w:tcBorders>
            <w:shd w:val="clear" w:color="auto" w:fill="auto"/>
            <w:noWrap/>
            <w:vAlign w:val="bottom"/>
            <w:hideMark/>
          </w:tcPr>
          <w:p w14:paraId="7912C75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c>
          <w:tcPr>
            <w:tcW w:w="1160" w:type="dxa"/>
            <w:tcBorders>
              <w:top w:val="nil"/>
              <w:left w:val="nil"/>
              <w:bottom w:val="nil"/>
              <w:right w:val="nil"/>
            </w:tcBorders>
            <w:shd w:val="clear" w:color="auto" w:fill="auto"/>
            <w:noWrap/>
            <w:vAlign w:val="bottom"/>
            <w:hideMark/>
          </w:tcPr>
          <w:p w14:paraId="6076963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c>
          <w:tcPr>
            <w:tcW w:w="1160" w:type="dxa"/>
            <w:tcBorders>
              <w:top w:val="nil"/>
              <w:left w:val="nil"/>
              <w:bottom w:val="nil"/>
              <w:right w:val="nil"/>
            </w:tcBorders>
            <w:shd w:val="clear" w:color="auto" w:fill="auto"/>
            <w:noWrap/>
            <w:vAlign w:val="bottom"/>
            <w:hideMark/>
          </w:tcPr>
          <w:p w14:paraId="406DC9F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c>
          <w:tcPr>
            <w:tcW w:w="1160" w:type="dxa"/>
            <w:tcBorders>
              <w:top w:val="nil"/>
              <w:left w:val="nil"/>
              <w:bottom w:val="nil"/>
              <w:right w:val="nil"/>
            </w:tcBorders>
            <w:shd w:val="clear" w:color="auto" w:fill="auto"/>
            <w:noWrap/>
            <w:vAlign w:val="bottom"/>
            <w:hideMark/>
          </w:tcPr>
          <w:p w14:paraId="4EEA10F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c>
          <w:tcPr>
            <w:tcW w:w="1160" w:type="dxa"/>
            <w:tcBorders>
              <w:top w:val="nil"/>
              <w:left w:val="nil"/>
              <w:bottom w:val="nil"/>
              <w:right w:val="nil"/>
            </w:tcBorders>
            <w:shd w:val="clear" w:color="auto" w:fill="auto"/>
            <w:noWrap/>
            <w:vAlign w:val="bottom"/>
            <w:hideMark/>
          </w:tcPr>
          <w:p w14:paraId="04991CAA"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-0.003</w:t>
            </w:r>
          </w:p>
        </w:tc>
      </w:tr>
      <w:tr w:rsidR="002B3278" w:rsidRPr="002B3278" w14:paraId="5DBC66B6" w14:textId="77777777" w:rsidTr="002B3278">
        <w:trPr>
          <w:trHeight w:val="255"/>
        </w:trPr>
        <w:tc>
          <w:tcPr>
            <w:tcW w:w="2127" w:type="dxa"/>
            <w:tcBorders>
              <w:top w:val="nil"/>
              <w:left w:val="nil"/>
              <w:bottom w:val="nil"/>
              <w:right w:val="nil"/>
            </w:tcBorders>
            <w:shd w:val="clear" w:color="auto" w:fill="auto"/>
            <w:noWrap/>
            <w:vAlign w:val="bottom"/>
            <w:hideMark/>
          </w:tcPr>
          <w:p w14:paraId="299CA5F7"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997C74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[-1.836]</w:t>
            </w:r>
          </w:p>
        </w:tc>
        <w:tc>
          <w:tcPr>
            <w:tcW w:w="1160" w:type="dxa"/>
            <w:tcBorders>
              <w:top w:val="nil"/>
              <w:left w:val="nil"/>
              <w:bottom w:val="nil"/>
              <w:right w:val="nil"/>
            </w:tcBorders>
            <w:shd w:val="clear" w:color="auto" w:fill="auto"/>
            <w:noWrap/>
            <w:vAlign w:val="bottom"/>
            <w:hideMark/>
          </w:tcPr>
          <w:p w14:paraId="4EC5C0C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[-1.760]</w:t>
            </w:r>
          </w:p>
        </w:tc>
        <w:tc>
          <w:tcPr>
            <w:tcW w:w="1160" w:type="dxa"/>
            <w:tcBorders>
              <w:top w:val="nil"/>
              <w:left w:val="nil"/>
              <w:bottom w:val="nil"/>
              <w:right w:val="nil"/>
            </w:tcBorders>
            <w:shd w:val="clear" w:color="auto" w:fill="auto"/>
            <w:noWrap/>
            <w:vAlign w:val="bottom"/>
            <w:hideMark/>
          </w:tcPr>
          <w:p w14:paraId="1380A46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[-1.652]</w:t>
            </w:r>
          </w:p>
        </w:tc>
        <w:tc>
          <w:tcPr>
            <w:tcW w:w="1160" w:type="dxa"/>
            <w:tcBorders>
              <w:top w:val="nil"/>
              <w:left w:val="nil"/>
              <w:bottom w:val="nil"/>
              <w:right w:val="nil"/>
            </w:tcBorders>
            <w:shd w:val="clear" w:color="auto" w:fill="auto"/>
            <w:noWrap/>
            <w:vAlign w:val="bottom"/>
            <w:hideMark/>
          </w:tcPr>
          <w:p w14:paraId="492EBEC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[-1.654]</w:t>
            </w:r>
          </w:p>
        </w:tc>
        <w:tc>
          <w:tcPr>
            <w:tcW w:w="1160" w:type="dxa"/>
            <w:tcBorders>
              <w:top w:val="nil"/>
              <w:left w:val="nil"/>
              <w:bottom w:val="nil"/>
              <w:right w:val="nil"/>
            </w:tcBorders>
            <w:shd w:val="clear" w:color="auto" w:fill="auto"/>
            <w:noWrap/>
            <w:vAlign w:val="bottom"/>
            <w:hideMark/>
          </w:tcPr>
          <w:p w14:paraId="215ACD1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[-1.570]</w:t>
            </w:r>
          </w:p>
        </w:tc>
        <w:tc>
          <w:tcPr>
            <w:tcW w:w="1160" w:type="dxa"/>
            <w:tcBorders>
              <w:top w:val="nil"/>
              <w:left w:val="nil"/>
              <w:bottom w:val="nil"/>
              <w:right w:val="nil"/>
            </w:tcBorders>
            <w:shd w:val="clear" w:color="auto" w:fill="auto"/>
            <w:noWrap/>
            <w:vAlign w:val="bottom"/>
            <w:hideMark/>
          </w:tcPr>
          <w:p w14:paraId="3379ABB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[-1.477]</w:t>
            </w:r>
          </w:p>
        </w:tc>
      </w:tr>
      <w:tr w:rsidR="002B3278" w:rsidRPr="002B3278" w14:paraId="761757EA" w14:textId="77777777" w:rsidTr="002B3278">
        <w:trPr>
          <w:trHeight w:val="255"/>
        </w:trPr>
        <w:tc>
          <w:tcPr>
            <w:tcW w:w="2127" w:type="dxa"/>
            <w:tcBorders>
              <w:top w:val="nil"/>
              <w:left w:val="nil"/>
              <w:bottom w:val="nil"/>
              <w:right w:val="nil"/>
            </w:tcBorders>
            <w:shd w:val="clear" w:color="auto" w:fill="auto"/>
            <w:noWrap/>
            <w:vAlign w:val="bottom"/>
            <w:hideMark/>
          </w:tcPr>
          <w:p w14:paraId="1FBD43EA" w14:textId="58526580" w:rsidR="002B3278" w:rsidRPr="002B3278" w:rsidRDefault="002B3278" w:rsidP="002B3278">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MB</w:t>
            </w:r>
          </w:p>
        </w:tc>
        <w:tc>
          <w:tcPr>
            <w:tcW w:w="1160" w:type="dxa"/>
            <w:tcBorders>
              <w:top w:val="nil"/>
              <w:left w:val="nil"/>
              <w:bottom w:val="nil"/>
              <w:right w:val="nil"/>
            </w:tcBorders>
            <w:shd w:val="clear" w:color="auto" w:fill="auto"/>
            <w:noWrap/>
            <w:vAlign w:val="bottom"/>
            <w:hideMark/>
          </w:tcPr>
          <w:p w14:paraId="3AE31BC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35ADB534"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640D54C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6E7AE5D5"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7BD0006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c>
          <w:tcPr>
            <w:tcW w:w="1160" w:type="dxa"/>
            <w:tcBorders>
              <w:top w:val="nil"/>
              <w:left w:val="nil"/>
              <w:bottom w:val="nil"/>
              <w:right w:val="nil"/>
            </w:tcBorders>
            <w:shd w:val="clear" w:color="auto" w:fill="auto"/>
            <w:noWrap/>
            <w:vAlign w:val="bottom"/>
            <w:hideMark/>
          </w:tcPr>
          <w:p w14:paraId="75AC828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0.001**</w:t>
            </w:r>
          </w:p>
        </w:tc>
      </w:tr>
      <w:tr w:rsidR="002B3278" w:rsidRPr="002B3278" w14:paraId="6991F244" w14:textId="77777777" w:rsidTr="002B3278">
        <w:trPr>
          <w:trHeight w:val="255"/>
        </w:trPr>
        <w:tc>
          <w:tcPr>
            <w:tcW w:w="2127" w:type="dxa"/>
            <w:tcBorders>
              <w:top w:val="nil"/>
              <w:left w:val="nil"/>
              <w:bottom w:val="nil"/>
              <w:right w:val="nil"/>
            </w:tcBorders>
            <w:shd w:val="clear" w:color="auto" w:fill="auto"/>
            <w:noWrap/>
            <w:vAlign w:val="bottom"/>
            <w:hideMark/>
          </w:tcPr>
          <w:p w14:paraId="7894B01A"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B34DEA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[2.201]</w:t>
            </w:r>
          </w:p>
        </w:tc>
        <w:tc>
          <w:tcPr>
            <w:tcW w:w="1160" w:type="dxa"/>
            <w:tcBorders>
              <w:top w:val="nil"/>
              <w:left w:val="nil"/>
              <w:bottom w:val="nil"/>
              <w:right w:val="nil"/>
            </w:tcBorders>
            <w:shd w:val="clear" w:color="auto" w:fill="auto"/>
            <w:noWrap/>
            <w:vAlign w:val="bottom"/>
            <w:hideMark/>
          </w:tcPr>
          <w:p w14:paraId="364E038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[2.287]</w:t>
            </w:r>
          </w:p>
        </w:tc>
        <w:tc>
          <w:tcPr>
            <w:tcW w:w="1160" w:type="dxa"/>
            <w:tcBorders>
              <w:top w:val="nil"/>
              <w:left w:val="nil"/>
              <w:bottom w:val="nil"/>
              <w:right w:val="nil"/>
            </w:tcBorders>
            <w:shd w:val="clear" w:color="auto" w:fill="auto"/>
            <w:noWrap/>
            <w:vAlign w:val="bottom"/>
            <w:hideMark/>
          </w:tcPr>
          <w:p w14:paraId="69EA5D0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[2.207]</w:t>
            </w:r>
          </w:p>
        </w:tc>
        <w:tc>
          <w:tcPr>
            <w:tcW w:w="1160" w:type="dxa"/>
            <w:tcBorders>
              <w:top w:val="nil"/>
              <w:left w:val="nil"/>
              <w:bottom w:val="nil"/>
              <w:right w:val="nil"/>
            </w:tcBorders>
            <w:shd w:val="clear" w:color="auto" w:fill="auto"/>
            <w:noWrap/>
            <w:vAlign w:val="bottom"/>
            <w:hideMark/>
          </w:tcPr>
          <w:p w14:paraId="5EFFF9EF"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[2.218]</w:t>
            </w:r>
          </w:p>
        </w:tc>
        <w:tc>
          <w:tcPr>
            <w:tcW w:w="1160" w:type="dxa"/>
            <w:tcBorders>
              <w:top w:val="nil"/>
              <w:left w:val="nil"/>
              <w:bottom w:val="nil"/>
              <w:right w:val="nil"/>
            </w:tcBorders>
            <w:shd w:val="clear" w:color="auto" w:fill="auto"/>
            <w:noWrap/>
            <w:vAlign w:val="bottom"/>
            <w:hideMark/>
          </w:tcPr>
          <w:p w14:paraId="1D24339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[2.199]</w:t>
            </w:r>
          </w:p>
        </w:tc>
        <w:tc>
          <w:tcPr>
            <w:tcW w:w="1160" w:type="dxa"/>
            <w:tcBorders>
              <w:top w:val="nil"/>
              <w:left w:val="nil"/>
              <w:bottom w:val="nil"/>
              <w:right w:val="nil"/>
            </w:tcBorders>
            <w:shd w:val="clear" w:color="auto" w:fill="auto"/>
            <w:noWrap/>
            <w:vAlign w:val="bottom"/>
            <w:hideMark/>
          </w:tcPr>
          <w:p w14:paraId="10DC2C0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[2.332]</w:t>
            </w:r>
          </w:p>
        </w:tc>
      </w:tr>
      <w:tr w:rsidR="002B3278" w:rsidRPr="002B3278" w14:paraId="28D00112" w14:textId="77777777" w:rsidTr="002B3278">
        <w:trPr>
          <w:trHeight w:val="255"/>
        </w:trPr>
        <w:tc>
          <w:tcPr>
            <w:tcW w:w="2127" w:type="dxa"/>
            <w:tcBorders>
              <w:top w:val="nil"/>
              <w:left w:val="nil"/>
              <w:bottom w:val="nil"/>
              <w:right w:val="nil"/>
            </w:tcBorders>
            <w:shd w:val="clear" w:color="auto" w:fill="auto"/>
            <w:noWrap/>
            <w:vAlign w:val="bottom"/>
            <w:hideMark/>
          </w:tcPr>
          <w:p w14:paraId="1F07FFDC"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0EF56A5"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8DBA280"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CF5E8EF"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0F5E9E5"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51AE490"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3BF3139" w14:textId="77777777" w:rsidR="002B3278" w:rsidRPr="002B3278" w:rsidRDefault="002B3278" w:rsidP="002B3278">
            <w:pPr>
              <w:rPr>
                <w:rFonts w:ascii="Times New Roman" w:eastAsia="Times New Roman" w:hAnsi="Times New Roman" w:cs="Times New Roman"/>
                <w:sz w:val="20"/>
                <w:szCs w:val="20"/>
              </w:rPr>
            </w:pPr>
          </w:p>
        </w:tc>
      </w:tr>
      <w:tr w:rsidR="002B3278" w:rsidRPr="002B3278" w14:paraId="5DAB4646" w14:textId="77777777" w:rsidTr="002B3278">
        <w:trPr>
          <w:trHeight w:val="255"/>
        </w:trPr>
        <w:tc>
          <w:tcPr>
            <w:tcW w:w="2127" w:type="dxa"/>
            <w:tcBorders>
              <w:top w:val="nil"/>
              <w:left w:val="nil"/>
              <w:bottom w:val="nil"/>
              <w:right w:val="nil"/>
            </w:tcBorders>
            <w:shd w:val="clear" w:color="auto" w:fill="auto"/>
            <w:noWrap/>
            <w:vAlign w:val="bottom"/>
            <w:hideMark/>
          </w:tcPr>
          <w:p w14:paraId="4EC5CD34"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Industry FE</w:t>
            </w:r>
          </w:p>
        </w:tc>
        <w:tc>
          <w:tcPr>
            <w:tcW w:w="1160" w:type="dxa"/>
            <w:tcBorders>
              <w:top w:val="nil"/>
              <w:left w:val="nil"/>
              <w:bottom w:val="nil"/>
              <w:right w:val="nil"/>
            </w:tcBorders>
            <w:shd w:val="clear" w:color="auto" w:fill="auto"/>
            <w:noWrap/>
            <w:vAlign w:val="bottom"/>
            <w:hideMark/>
          </w:tcPr>
          <w:p w14:paraId="155E308A"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5978E025"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0D3BC642"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49318B26"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0CB3FAF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6FB068A4"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r>
      <w:tr w:rsidR="002B3278" w:rsidRPr="002B3278" w14:paraId="3CA85CF8" w14:textId="77777777" w:rsidTr="002B3278">
        <w:trPr>
          <w:trHeight w:val="255"/>
        </w:trPr>
        <w:tc>
          <w:tcPr>
            <w:tcW w:w="2127" w:type="dxa"/>
            <w:tcBorders>
              <w:top w:val="nil"/>
              <w:left w:val="nil"/>
              <w:bottom w:val="nil"/>
              <w:right w:val="nil"/>
            </w:tcBorders>
            <w:shd w:val="clear" w:color="auto" w:fill="auto"/>
            <w:noWrap/>
            <w:vAlign w:val="bottom"/>
            <w:hideMark/>
          </w:tcPr>
          <w:p w14:paraId="0EB3DE73"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Year FE</w:t>
            </w:r>
          </w:p>
        </w:tc>
        <w:tc>
          <w:tcPr>
            <w:tcW w:w="1160" w:type="dxa"/>
            <w:tcBorders>
              <w:top w:val="nil"/>
              <w:left w:val="nil"/>
              <w:bottom w:val="nil"/>
              <w:right w:val="nil"/>
            </w:tcBorders>
            <w:shd w:val="clear" w:color="auto" w:fill="auto"/>
            <w:noWrap/>
            <w:vAlign w:val="bottom"/>
            <w:hideMark/>
          </w:tcPr>
          <w:p w14:paraId="25698E4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5D845C50"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39D64214"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6BB1CB0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1EC6127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c>
          <w:tcPr>
            <w:tcW w:w="1160" w:type="dxa"/>
            <w:tcBorders>
              <w:top w:val="nil"/>
              <w:left w:val="nil"/>
              <w:bottom w:val="nil"/>
              <w:right w:val="nil"/>
            </w:tcBorders>
            <w:shd w:val="clear" w:color="auto" w:fill="auto"/>
            <w:noWrap/>
            <w:vAlign w:val="bottom"/>
            <w:hideMark/>
          </w:tcPr>
          <w:p w14:paraId="2FBE9008"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YES</w:t>
            </w:r>
          </w:p>
        </w:tc>
      </w:tr>
      <w:tr w:rsidR="002B3278" w:rsidRPr="002B3278" w14:paraId="54991982" w14:textId="77777777" w:rsidTr="002B3278">
        <w:trPr>
          <w:trHeight w:val="255"/>
        </w:trPr>
        <w:tc>
          <w:tcPr>
            <w:tcW w:w="2127" w:type="dxa"/>
            <w:tcBorders>
              <w:top w:val="nil"/>
              <w:left w:val="nil"/>
              <w:bottom w:val="nil"/>
              <w:right w:val="nil"/>
            </w:tcBorders>
            <w:shd w:val="clear" w:color="auto" w:fill="auto"/>
            <w:noWrap/>
            <w:vAlign w:val="bottom"/>
            <w:hideMark/>
          </w:tcPr>
          <w:p w14:paraId="22037CAC"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AD29F82" w14:textId="77777777" w:rsidR="002B3278" w:rsidRPr="002B3278" w:rsidRDefault="002B3278" w:rsidP="002B3278">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D3E33EF"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565B65D0"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B5DBE7F"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2661D120" w14:textId="77777777" w:rsidR="002B3278" w:rsidRPr="002B3278" w:rsidRDefault="002B3278" w:rsidP="002B3278">
            <w:pPr>
              <w:jc w:val="cente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1A07AF1" w14:textId="77777777" w:rsidR="002B3278" w:rsidRPr="002B3278" w:rsidRDefault="002B3278" w:rsidP="002B3278">
            <w:pPr>
              <w:jc w:val="center"/>
              <w:rPr>
                <w:rFonts w:ascii="Times New Roman" w:eastAsia="Times New Roman" w:hAnsi="Times New Roman" w:cs="Times New Roman"/>
                <w:sz w:val="20"/>
                <w:szCs w:val="20"/>
              </w:rPr>
            </w:pPr>
          </w:p>
        </w:tc>
      </w:tr>
      <w:tr w:rsidR="002B3278" w:rsidRPr="002B3278" w14:paraId="4840B381" w14:textId="77777777" w:rsidTr="002B3278">
        <w:trPr>
          <w:trHeight w:val="255"/>
        </w:trPr>
        <w:tc>
          <w:tcPr>
            <w:tcW w:w="2127" w:type="dxa"/>
            <w:tcBorders>
              <w:top w:val="nil"/>
              <w:left w:val="nil"/>
              <w:bottom w:val="nil"/>
              <w:right w:val="nil"/>
            </w:tcBorders>
            <w:shd w:val="clear" w:color="auto" w:fill="auto"/>
            <w:noWrap/>
            <w:vAlign w:val="bottom"/>
            <w:hideMark/>
          </w:tcPr>
          <w:p w14:paraId="107485A4"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Observations</w:t>
            </w:r>
          </w:p>
        </w:tc>
        <w:tc>
          <w:tcPr>
            <w:tcW w:w="1160" w:type="dxa"/>
            <w:tcBorders>
              <w:top w:val="nil"/>
              <w:left w:val="nil"/>
              <w:bottom w:val="nil"/>
              <w:right w:val="nil"/>
            </w:tcBorders>
            <w:shd w:val="clear" w:color="auto" w:fill="auto"/>
            <w:noWrap/>
            <w:vAlign w:val="bottom"/>
            <w:hideMark/>
          </w:tcPr>
          <w:p w14:paraId="6137B04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298</w:t>
            </w:r>
          </w:p>
        </w:tc>
        <w:tc>
          <w:tcPr>
            <w:tcW w:w="1160" w:type="dxa"/>
            <w:tcBorders>
              <w:top w:val="nil"/>
              <w:left w:val="nil"/>
              <w:bottom w:val="nil"/>
              <w:right w:val="nil"/>
            </w:tcBorders>
            <w:shd w:val="clear" w:color="auto" w:fill="auto"/>
            <w:noWrap/>
            <w:vAlign w:val="bottom"/>
            <w:hideMark/>
          </w:tcPr>
          <w:p w14:paraId="307198F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298</w:t>
            </w:r>
          </w:p>
        </w:tc>
        <w:tc>
          <w:tcPr>
            <w:tcW w:w="1160" w:type="dxa"/>
            <w:tcBorders>
              <w:top w:val="nil"/>
              <w:left w:val="nil"/>
              <w:bottom w:val="nil"/>
              <w:right w:val="nil"/>
            </w:tcBorders>
            <w:shd w:val="clear" w:color="auto" w:fill="auto"/>
            <w:noWrap/>
            <w:vAlign w:val="bottom"/>
            <w:hideMark/>
          </w:tcPr>
          <w:p w14:paraId="1106E08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297</w:t>
            </w:r>
          </w:p>
        </w:tc>
        <w:tc>
          <w:tcPr>
            <w:tcW w:w="1160" w:type="dxa"/>
            <w:tcBorders>
              <w:top w:val="nil"/>
              <w:left w:val="nil"/>
              <w:bottom w:val="nil"/>
              <w:right w:val="nil"/>
            </w:tcBorders>
            <w:shd w:val="clear" w:color="auto" w:fill="auto"/>
            <w:noWrap/>
            <w:vAlign w:val="bottom"/>
            <w:hideMark/>
          </w:tcPr>
          <w:p w14:paraId="4FE1555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297</w:t>
            </w:r>
          </w:p>
        </w:tc>
        <w:tc>
          <w:tcPr>
            <w:tcW w:w="1160" w:type="dxa"/>
            <w:tcBorders>
              <w:top w:val="nil"/>
              <w:left w:val="nil"/>
              <w:bottom w:val="nil"/>
              <w:right w:val="nil"/>
            </w:tcBorders>
            <w:shd w:val="clear" w:color="auto" w:fill="auto"/>
            <w:noWrap/>
            <w:vAlign w:val="bottom"/>
            <w:hideMark/>
          </w:tcPr>
          <w:p w14:paraId="1294D051"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297</w:t>
            </w:r>
          </w:p>
        </w:tc>
        <w:tc>
          <w:tcPr>
            <w:tcW w:w="1160" w:type="dxa"/>
            <w:tcBorders>
              <w:top w:val="nil"/>
              <w:left w:val="nil"/>
              <w:bottom w:val="nil"/>
              <w:right w:val="nil"/>
            </w:tcBorders>
            <w:shd w:val="clear" w:color="auto" w:fill="auto"/>
            <w:noWrap/>
            <w:vAlign w:val="bottom"/>
            <w:hideMark/>
          </w:tcPr>
          <w:p w14:paraId="72086CB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297</w:t>
            </w:r>
          </w:p>
        </w:tc>
      </w:tr>
      <w:tr w:rsidR="002B3278" w:rsidRPr="002B3278" w14:paraId="5F438E5D" w14:textId="77777777" w:rsidTr="002B3278">
        <w:trPr>
          <w:trHeight w:val="255"/>
        </w:trPr>
        <w:tc>
          <w:tcPr>
            <w:tcW w:w="2127" w:type="dxa"/>
            <w:tcBorders>
              <w:top w:val="nil"/>
              <w:left w:val="nil"/>
              <w:bottom w:val="single" w:sz="4" w:space="0" w:color="auto"/>
              <w:right w:val="nil"/>
            </w:tcBorders>
            <w:shd w:val="clear" w:color="auto" w:fill="auto"/>
            <w:noWrap/>
            <w:vAlign w:val="bottom"/>
            <w:hideMark/>
          </w:tcPr>
          <w:p w14:paraId="753326B7" w14:textId="77777777" w:rsidR="002B3278" w:rsidRPr="002B3278" w:rsidRDefault="002B3278" w:rsidP="002B3278">
            <w:pP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R-squared</w:t>
            </w:r>
          </w:p>
        </w:tc>
        <w:tc>
          <w:tcPr>
            <w:tcW w:w="1160" w:type="dxa"/>
            <w:tcBorders>
              <w:top w:val="nil"/>
              <w:left w:val="nil"/>
              <w:bottom w:val="single" w:sz="4" w:space="0" w:color="auto"/>
              <w:right w:val="nil"/>
            </w:tcBorders>
            <w:shd w:val="clear" w:color="auto" w:fill="auto"/>
            <w:noWrap/>
            <w:vAlign w:val="bottom"/>
            <w:hideMark/>
          </w:tcPr>
          <w:p w14:paraId="466125ED"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0.876</w:t>
            </w:r>
          </w:p>
        </w:tc>
        <w:tc>
          <w:tcPr>
            <w:tcW w:w="1160" w:type="dxa"/>
            <w:tcBorders>
              <w:top w:val="nil"/>
              <w:left w:val="nil"/>
              <w:bottom w:val="single" w:sz="4" w:space="0" w:color="auto"/>
              <w:right w:val="nil"/>
            </w:tcBorders>
            <w:shd w:val="clear" w:color="auto" w:fill="auto"/>
            <w:noWrap/>
            <w:vAlign w:val="bottom"/>
            <w:hideMark/>
          </w:tcPr>
          <w:p w14:paraId="17F8E139"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0.877</w:t>
            </w:r>
          </w:p>
        </w:tc>
        <w:tc>
          <w:tcPr>
            <w:tcW w:w="1160" w:type="dxa"/>
            <w:tcBorders>
              <w:top w:val="nil"/>
              <w:left w:val="nil"/>
              <w:bottom w:val="single" w:sz="4" w:space="0" w:color="auto"/>
              <w:right w:val="nil"/>
            </w:tcBorders>
            <w:shd w:val="clear" w:color="auto" w:fill="auto"/>
            <w:noWrap/>
            <w:vAlign w:val="bottom"/>
            <w:hideMark/>
          </w:tcPr>
          <w:p w14:paraId="41E4FF4E"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0.883</w:t>
            </w:r>
          </w:p>
        </w:tc>
        <w:tc>
          <w:tcPr>
            <w:tcW w:w="1160" w:type="dxa"/>
            <w:tcBorders>
              <w:top w:val="nil"/>
              <w:left w:val="nil"/>
              <w:bottom w:val="single" w:sz="4" w:space="0" w:color="auto"/>
              <w:right w:val="nil"/>
            </w:tcBorders>
            <w:shd w:val="clear" w:color="auto" w:fill="auto"/>
            <w:noWrap/>
            <w:vAlign w:val="bottom"/>
            <w:hideMark/>
          </w:tcPr>
          <w:p w14:paraId="092324A3"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0.883</w:t>
            </w:r>
          </w:p>
        </w:tc>
        <w:tc>
          <w:tcPr>
            <w:tcW w:w="1160" w:type="dxa"/>
            <w:tcBorders>
              <w:top w:val="nil"/>
              <w:left w:val="nil"/>
              <w:bottom w:val="single" w:sz="4" w:space="0" w:color="auto"/>
              <w:right w:val="nil"/>
            </w:tcBorders>
            <w:shd w:val="clear" w:color="auto" w:fill="auto"/>
            <w:noWrap/>
            <w:vAlign w:val="bottom"/>
            <w:hideMark/>
          </w:tcPr>
          <w:p w14:paraId="244137C4"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0.883</w:t>
            </w:r>
          </w:p>
        </w:tc>
        <w:tc>
          <w:tcPr>
            <w:tcW w:w="1160" w:type="dxa"/>
            <w:tcBorders>
              <w:top w:val="nil"/>
              <w:left w:val="nil"/>
              <w:bottom w:val="single" w:sz="4" w:space="0" w:color="auto"/>
              <w:right w:val="nil"/>
            </w:tcBorders>
            <w:shd w:val="clear" w:color="auto" w:fill="auto"/>
            <w:noWrap/>
            <w:vAlign w:val="bottom"/>
            <w:hideMark/>
          </w:tcPr>
          <w:p w14:paraId="750516AB" w14:textId="77777777" w:rsidR="002B3278" w:rsidRPr="002B3278" w:rsidRDefault="002B3278" w:rsidP="002B3278">
            <w:pPr>
              <w:jc w:val="center"/>
              <w:rPr>
                <w:rFonts w:ascii="Times New Roman" w:eastAsia="Times New Roman" w:hAnsi="Times New Roman" w:cs="Times New Roman"/>
                <w:sz w:val="20"/>
                <w:szCs w:val="20"/>
              </w:rPr>
            </w:pPr>
            <w:r w:rsidRPr="002B3278">
              <w:rPr>
                <w:rFonts w:ascii="Times New Roman" w:eastAsia="Times New Roman" w:hAnsi="Times New Roman" w:cs="Times New Roman"/>
                <w:sz w:val="20"/>
                <w:szCs w:val="20"/>
              </w:rPr>
              <w:t>0.884</w:t>
            </w:r>
          </w:p>
        </w:tc>
      </w:tr>
    </w:tbl>
    <w:p w14:paraId="78C91BFD" w14:textId="77777777" w:rsidR="002B3278" w:rsidRDefault="002B3278">
      <w:pPr>
        <w:jc w:val="both"/>
        <w:rPr>
          <w:b/>
          <w:sz w:val="24"/>
        </w:rPr>
      </w:pPr>
      <w:r>
        <w:rPr>
          <w:b/>
          <w:sz w:val="24"/>
        </w:rPr>
        <w:br w:type="page"/>
      </w:r>
    </w:p>
    <w:p w14:paraId="6664E29C" w14:textId="3E20DC6F" w:rsidR="00405C5A" w:rsidRPr="00405C5A" w:rsidRDefault="00405C5A" w:rsidP="0057453C">
      <w:pPr>
        <w:spacing w:line="480" w:lineRule="auto"/>
        <w:jc w:val="center"/>
        <w:rPr>
          <w:b/>
          <w:sz w:val="24"/>
        </w:rPr>
      </w:pPr>
      <w:r w:rsidRPr="00405C5A">
        <w:rPr>
          <w:b/>
          <w:sz w:val="24"/>
        </w:rPr>
        <w:lastRenderedPageBreak/>
        <w:t xml:space="preserve">Table </w:t>
      </w:r>
      <w:r w:rsidR="002B3278">
        <w:rPr>
          <w:b/>
          <w:sz w:val="24"/>
        </w:rPr>
        <w:t>7</w:t>
      </w:r>
      <w:r w:rsidRPr="00405C5A">
        <w:rPr>
          <w:b/>
          <w:sz w:val="24"/>
        </w:rPr>
        <w:t xml:space="preserve"> </w:t>
      </w:r>
      <w:r w:rsidRPr="00405C5A">
        <w:rPr>
          <w:rFonts w:hint="eastAsia"/>
          <w:b/>
          <w:sz w:val="24"/>
        </w:rPr>
        <w:t>Mar</w:t>
      </w:r>
      <w:r w:rsidRPr="00405C5A">
        <w:rPr>
          <w:b/>
          <w:sz w:val="24"/>
        </w:rPr>
        <w:t>ket Reaction to Voting Outcom</w:t>
      </w:r>
      <w:r w:rsidR="00E3638B">
        <w:rPr>
          <w:b/>
          <w:sz w:val="24"/>
        </w:rPr>
        <w:t>e</w:t>
      </w:r>
      <w:r w:rsidRPr="00405C5A">
        <w:rPr>
          <w:b/>
          <w:sz w:val="24"/>
        </w:rPr>
        <w:t>s</w:t>
      </w:r>
    </w:p>
    <w:p w14:paraId="1F9D9C01" w14:textId="5572BED3" w:rsidR="00E3638B" w:rsidRDefault="00E3638B" w:rsidP="00E3638B">
      <w:pPr>
        <w:jc w:val="both"/>
        <w:rPr>
          <w:sz w:val="20"/>
          <w:szCs w:val="20"/>
        </w:rPr>
      </w:pPr>
      <w:r>
        <w:rPr>
          <w:sz w:val="20"/>
          <w:szCs w:val="20"/>
        </w:rPr>
        <w:t xml:space="preserve">This table reports the results from OLS regressions of market reactions to voting outcomes. The unit of observation is a RPT resolution which requires approval by disinterested shareholders. The sample include RPT resolutions that are not accompanied by other resolutions to be voted on the voting date. Dependent variables are the cumulative market-adjusted stock returns in the windows around the voting date. Variables are defined in Appendix B. ***, ** and * indicate the estimated coefficients are statistically significant at 1%, 5% and 10% level, respectively, based on two-tailed tests. </w:t>
      </w:r>
    </w:p>
    <w:p w14:paraId="75DE3523" w14:textId="68A97B6B" w:rsidR="00405C5A" w:rsidRDefault="00405C5A" w:rsidP="00E3638B">
      <w:pPr>
        <w:jc w:val="both"/>
        <w:rPr>
          <w:sz w:val="24"/>
        </w:rPr>
      </w:pPr>
    </w:p>
    <w:tbl>
      <w:tblPr>
        <w:tblW w:w="7560" w:type="dxa"/>
        <w:jc w:val="center"/>
        <w:tblLook w:val="04A0" w:firstRow="1" w:lastRow="0" w:firstColumn="1" w:lastColumn="0" w:noHBand="0" w:noVBand="1"/>
      </w:tblPr>
      <w:tblGrid>
        <w:gridCol w:w="3540"/>
        <w:gridCol w:w="1340"/>
        <w:gridCol w:w="1340"/>
        <w:gridCol w:w="1340"/>
      </w:tblGrid>
      <w:tr w:rsidR="00DE3C8E" w:rsidRPr="00DE3C8E" w14:paraId="5F4FB9A2" w14:textId="77777777" w:rsidTr="00DE3C8E">
        <w:trPr>
          <w:trHeight w:val="300"/>
          <w:jc w:val="center"/>
        </w:trPr>
        <w:tc>
          <w:tcPr>
            <w:tcW w:w="3540" w:type="dxa"/>
            <w:tcBorders>
              <w:top w:val="single" w:sz="4" w:space="0" w:color="auto"/>
              <w:left w:val="nil"/>
              <w:bottom w:val="nil"/>
              <w:right w:val="nil"/>
            </w:tcBorders>
            <w:shd w:val="clear" w:color="auto" w:fill="auto"/>
            <w:noWrap/>
            <w:vAlign w:val="bottom"/>
            <w:hideMark/>
          </w:tcPr>
          <w:p w14:paraId="5CF1D645" w14:textId="77777777" w:rsidR="00DE3C8E" w:rsidRPr="00DE3C8E" w:rsidRDefault="00DE3C8E" w:rsidP="00DE3C8E">
            <w:pPr>
              <w:rPr>
                <w:rFonts w:asciiTheme="majorHAnsi" w:eastAsia="Times New Roman" w:hAnsiTheme="majorHAnsi" w:cstheme="majorHAnsi"/>
                <w:b/>
                <w:bCs/>
                <w:color w:val="000000"/>
                <w:sz w:val="20"/>
                <w:szCs w:val="20"/>
                <w:lang w:eastAsia="en-AU"/>
              </w:rPr>
            </w:pPr>
            <w:r w:rsidRPr="00DE3C8E">
              <w:rPr>
                <w:rFonts w:asciiTheme="majorHAnsi" w:eastAsia="Times New Roman" w:hAnsiTheme="majorHAnsi" w:cstheme="majorHAnsi"/>
                <w:b/>
                <w:bCs/>
                <w:color w:val="000000"/>
                <w:sz w:val="20"/>
                <w:szCs w:val="20"/>
                <w:lang w:eastAsia="en-AU"/>
              </w:rPr>
              <w:t> </w:t>
            </w:r>
          </w:p>
        </w:tc>
        <w:tc>
          <w:tcPr>
            <w:tcW w:w="1340" w:type="dxa"/>
            <w:tcBorders>
              <w:top w:val="single" w:sz="4" w:space="0" w:color="auto"/>
              <w:left w:val="nil"/>
              <w:bottom w:val="nil"/>
              <w:right w:val="nil"/>
            </w:tcBorders>
            <w:shd w:val="clear" w:color="auto" w:fill="auto"/>
            <w:noWrap/>
            <w:vAlign w:val="bottom"/>
            <w:hideMark/>
          </w:tcPr>
          <w:p w14:paraId="44B601F0" w14:textId="77777777" w:rsidR="00DE3C8E" w:rsidRPr="00DE3C8E" w:rsidRDefault="00DE3C8E" w:rsidP="00DE3C8E">
            <w:pPr>
              <w:jc w:val="center"/>
              <w:rPr>
                <w:rFonts w:asciiTheme="majorHAnsi" w:eastAsia="Times New Roman" w:hAnsiTheme="majorHAnsi" w:cstheme="majorHAnsi"/>
                <w:b/>
                <w:bCs/>
                <w:color w:val="000000"/>
                <w:sz w:val="20"/>
                <w:szCs w:val="20"/>
                <w:lang w:eastAsia="en-AU"/>
              </w:rPr>
            </w:pPr>
            <w:r w:rsidRPr="00DE3C8E">
              <w:rPr>
                <w:rFonts w:asciiTheme="majorHAnsi" w:eastAsia="Times New Roman" w:hAnsiTheme="majorHAnsi" w:cstheme="majorHAnsi"/>
                <w:b/>
                <w:bCs/>
                <w:color w:val="000000"/>
                <w:sz w:val="20"/>
                <w:szCs w:val="20"/>
                <w:lang w:eastAsia="en-AU"/>
              </w:rPr>
              <w:t>(1)</w:t>
            </w:r>
          </w:p>
        </w:tc>
        <w:tc>
          <w:tcPr>
            <w:tcW w:w="1340" w:type="dxa"/>
            <w:tcBorders>
              <w:top w:val="single" w:sz="4" w:space="0" w:color="auto"/>
              <w:left w:val="nil"/>
              <w:bottom w:val="nil"/>
              <w:right w:val="nil"/>
            </w:tcBorders>
            <w:shd w:val="clear" w:color="auto" w:fill="auto"/>
            <w:noWrap/>
            <w:vAlign w:val="bottom"/>
            <w:hideMark/>
          </w:tcPr>
          <w:p w14:paraId="15752B1B" w14:textId="77777777" w:rsidR="00DE3C8E" w:rsidRPr="00DE3C8E" w:rsidRDefault="00DE3C8E" w:rsidP="00DE3C8E">
            <w:pPr>
              <w:jc w:val="center"/>
              <w:rPr>
                <w:rFonts w:asciiTheme="majorHAnsi" w:eastAsia="Times New Roman" w:hAnsiTheme="majorHAnsi" w:cstheme="majorHAnsi"/>
                <w:b/>
                <w:bCs/>
                <w:color w:val="000000"/>
                <w:sz w:val="20"/>
                <w:szCs w:val="20"/>
                <w:lang w:eastAsia="en-AU"/>
              </w:rPr>
            </w:pPr>
            <w:r w:rsidRPr="00DE3C8E">
              <w:rPr>
                <w:rFonts w:asciiTheme="majorHAnsi" w:eastAsia="Times New Roman" w:hAnsiTheme="majorHAnsi" w:cstheme="majorHAnsi"/>
                <w:b/>
                <w:bCs/>
                <w:color w:val="000000"/>
                <w:sz w:val="20"/>
                <w:szCs w:val="20"/>
                <w:lang w:eastAsia="en-AU"/>
              </w:rPr>
              <w:t>(2)</w:t>
            </w:r>
          </w:p>
        </w:tc>
        <w:tc>
          <w:tcPr>
            <w:tcW w:w="1340" w:type="dxa"/>
            <w:tcBorders>
              <w:top w:val="single" w:sz="4" w:space="0" w:color="auto"/>
              <w:left w:val="nil"/>
              <w:bottom w:val="nil"/>
              <w:right w:val="nil"/>
            </w:tcBorders>
            <w:shd w:val="clear" w:color="auto" w:fill="auto"/>
            <w:noWrap/>
            <w:vAlign w:val="bottom"/>
            <w:hideMark/>
          </w:tcPr>
          <w:p w14:paraId="4B037942" w14:textId="77777777" w:rsidR="00DE3C8E" w:rsidRPr="00DE3C8E" w:rsidRDefault="00DE3C8E" w:rsidP="00DE3C8E">
            <w:pPr>
              <w:jc w:val="center"/>
              <w:rPr>
                <w:rFonts w:asciiTheme="majorHAnsi" w:eastAsia="Times New Roman" w:hAnsiTheme="majorHAnsi" w:cstheme="majorHAnsi"/>
                <w:b/>
                <w:bCs/>
                <w:color w:val="000000"/>
                <w:sz w:val="20"/>
                <w:szCs w:val="20"/>
                <w:lang w:eastAsia="en-AU"/>
              </w:rPr>
            </w:pPr>
            <w:r w:rsidRPr="00DE3C8E">
              <w:rPr>
                <w:rFonts w:asciiTheme="majorHAnsi" w:eastAsia="Times New Roman" w:hAnsiTheme="majorHAnsi" w:cstheme="majorHAnsi"/>
                <w:b/>
                <w:bCs/>
                <w:color w:val="000000"/>
                <w:sz w:val="20"/>
                <w:szCs w:val="20"/>
                <w:lang w:eastAsia="en-AU"/>
              </w:rPr>
              <w:t>(3)</w:t>
            </w:r>
          </w:p>
        </w:tc>
      </w:tr>
      <w:tr w:rsidR="00DE3C8E" w:rsidRPr="00DE3C8E" w14:paraId="50D28422"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09161D5" w14:textId="77777777" w:rsidR="00DE3C8E" w:rsidRPr="00DE3C8E" w:rsidRDefault="00DE3C8E" w:rsidP="00DE3C8E">
            <w:pPr>
              <w:jc w:val="center"/>
              <w:rPr>
                <w:rFonts w:asciiTheme="majorHAnsi" w:eastAsia="Times New Roman" w:hAnsiTheme="majorHAnsi" w:cstheme="majorHAnsi"/>
                <w:b/>
                <w:bCs/>
                <w:color w:val="000000"/>
                <w:sz w:val="20"/>
                <w:szCs w:val="20"/>
                <w:lang w:eastAsia="en-AU"/>
              </w:rPr>
            </w:pPr>
          </w:p>
        </w:tc>
        <w:tc>
          <w:tcPr>
            <w:tcW w:w="4020" w:type="dxa"/>
            <w:gridSpan w:val="3"/>
            <w:tcBorders>
              <w:top w:val="nil"/>
              <w:left w:val="nil"/>
              <w:bottom w:val="single" w:sz="4" w:space="0" w:color="auto"/>
              <w:right w:val="nil"/>
            </w:tcBorders>
            <w:shd w:val="clear" w:color="auto" w:fill="auto"/>
            <w:noWrap/>
            <w:vAlign w:val="bottom"/>
            <w:hideMark/>
          </w:tcPr>
          <w:p w14:paraId="3462E406" w14:textId="77777777" w:rsidR="00DE3C8E" w:rsidRPr="00DE3C8E" w:rsidRDefault="00DE3C8E" w:rsidP="00DE3C8E">
            <w:pPr>
              <w:jc w:val="center"/>
              <w:rPr>
                <w:rFonts w:asciiTheme="majorHAnsi" w:eastAsia="Times New Roman" w:hAnsiTheme="majorHAnsi" w:cstheme="majorHAnsi"/>
                <w:b/>
                <w:bCs/>
                <w:i/>
                <w:iCs/>
                <w:color w:val="000000"/>
                <w:sz w:val="20"/>
                <w:szCs w:val="20"/>
                <w:lang w:eastAsia="en-AU"/>
              </w:rPr>
            </w:pPr>
            <w:r w:rsidRPr="00DE3C8E">
              <w:rPr>
                <w:rFonts w:asciiTheme="majorHAnsi" w:eastAsia="Times New Roman" w:hAnsiTheme="majorHAnsi" w:cstheme="majorHAnsi"/>
                <w:b/>
                <w:bCs/>
                <w:i/>
                <w:iCs/>
                <w:color w:val="000000"/>
                <w:sz w:val="20"/>
                <w:szCs w:val="20"/>
                <w:lang w:eastAsia="en-AU"/>
              </w:rPr>
              <w:t>CAR[-3, +3]</w:t>
            </w:r>
          </w:p>
        </w:tc>
      </w:tr>
      <w:tr w:rsidR="00DE3C8E" w:rsidRPr="00DE3C8E" w14:paraId="40B9418B" w14:textId="77777777" w:rsidTr="00DE3C8E">
        <w:trPr>
          <w:trHeight w:val="135"/>
          <w:jc w:val="center"/>
        </w:trPr>
        <w:tc>
          <w:tcPr>
            <w:tcW w:w="3540" w:type="dxa"/>
            <w:tcBorders>
              <w:top w:val="single" w:sz="4" w:space="0" w:color="auto"/>
              <w:left w:val="nil"/>
              <w:bottom w:val="nil"/>
              <w:right w:val="nil"/>
            </w:tcBorders>
            <w:shd w:val="clear" w:color="auto" w:fill="auto"/>
            <w:noWrap/>
            <w:vAlign w:val="bottom"/>
            <w:hideMark/>
          </w:tcPr>
          <w:p w14:paraId="3723F0E8" w14:textId="77777777" w:rsidR="00DE3C8E" w:rsidRPr="00DE3C8E" w:rsidRDefault="00DE3C8E" w:rsidP="00DE3C8E">
            <w:pP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 </w:t>
            </w:r>
          </w:p>
        </w:tc>
        <w:tc>
          <w:tcPr>
            <w:tcW w:w="1340" w:type="dxa"/>
            <w:tcBorders>
              <w:top w:val="nil"/>
              <w:left w:val="nil"/>
              <w:bottom w:val="nil"/>
              <w:right w:val="nil"/>
            </w:tcBorders>
            <w:shd w:val="clear" w:color="auto" w:fill="auto"/>
            <w:noWrap/>
            <w:vAlign w:val="bottom"/>
            <w:hideMark/>
          </w:tcPr>
          <w:p w14:paraId="78DDC4F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 </w:t>
            </w:r>
          </w:p>
        </w:tc>
        <w:tc>
          <w:tcPr>
            <w:tcW w:w="1340" w:type="dxa"/>
            <w:tcBorders>
              <w:top w:val="nil"/>
              <w:left w:val="nil"/>
              <w:bottom w:val="nil"/>
              <w:right w:val="nil"/>
            </w:tcBorders>
            <w:shd w:val="clear" w:color="auto" w:fill="auto"/>
            <w:noWrap/>
            <w:vAlign w:val="bottom"/>
            <w:hideMark/>
          </w:tcPr>
          <w:p w14:paraId="6EDA9CB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 </w:t>
            </w:r>
          </w:p>
        </w:tc>
        <w:tc>
          <w:tcPr>
            <w:tcW w:w="1340" w:type="dxa"/>
            <w:tcBorders>
              <w:top w:val="nil"/>
              <w:left w:val="nil"/>
              <w:bottom w:val="nil"/>
              <w:right w:val="nil"/>
            </w:tcBorders>
            <w:shd w:val="clear" w:color="auto" w:fill="auto"/>
            <w:noWrap/>
            <w:vAlign w:val="bottom"/>
            <w:hideMark/>
          </w:tcPr>
          <w:p w14:paraId="53BACF8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 </w:t>
            </w:r>
          </w:p>
        </w:tc>
      </w:tr>
      <w:tr w:rsidR="00DE3C8E" w:rsidRPr="00DE3C8E" w14:paraId="2D5B4D7E"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E144BDD"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FOG</w:t>
            </w:r>
          </w:p>
        </w:tc>
        <w:tc>
          <w:tcPr>
            <w:tcW w:w="1340" w:type="dxa"/>
            <w:tcBorders>
              <w:top w:val="nil"/>
              <w:left w:val="nil"/>
              <w:bottom w:val="nil"/>
              <w:right w:val="nil"/>
            </w:tcBorders>
            <w:shd w:val="clear" w:color="auto" w:fill="auto"/>
            <w:noWrap/>
            <w:vAlign w:val="bottom"/>
            <w:hideMark/>
          </w:tcPr>
          <w:p w14:paraId="0BAF130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c>
          <w:tcPr>
            <w:tcW w:w="1340" w:type="dxa"/>
            <w:tcBorders>
              <w:top w:val="nil"/>
              <w:left w:val="nil"/>
              <w:bottom w:val="nil"/>
              <w:right w:val="nil"/>
            </w:tcBorders>
            <w:shd w:val="clear" w:color="auto" w:fill="auto"/>
            <w:noWrap/>
            <w:vAlign w:val="bottom"/>
            <w:hideMark/>
          </w:tcPr>
          <w:p w14:paraId="567916A2"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7E6615B2"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r>
      <w:tr w:rsidR="00DE3C8E" w:rsidRPr="00DE3C8E" w14:paraId="563873BC"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22B8B01E"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22494478"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[-2.285]</w:t>
            </w:r>
          </w:p>
        </w:tc>
        <w:tc>
          <w:tcPr>
            <w:tcW w:w="1340" w:type="dxa"/>
            <w:tcBorders>
              <w:top w:val="nil"/>
              <w:left w:val="nil"/>
              <w:bottom w:val="nil"/>
              <w:right w:val="nil"/>
            </w:tcBorders>
            <w:shd w:val="clear" w:color="auto" w:fill="auto"/>
            <w:noWrap/>
            <w:vAlign w:val="bottom"/>
            <w:hideMark/>
          </w:tcPr>
          <w:p w14:paraId="6FD473B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44679E80"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[-1.873]</w:t>
            </w:r>
          </w:p>
        </w:tc>
      </w:tr>
      <w:tr w:rsidR="00DE3C8E" w:rsidRPr="00DE3C8E" w14:paraId="1386D0D0"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4EBCC7F7"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R_TONE</w:t>
            </w:r>
          </w:p>
        </w:tc>
        <w:tc>
          <w:tcPr>
            <w:tcW w:w="1340" w:type="dxa"/>
            <w:tcBorders>
              <w:top w:val="nil"/>
              <w:left w:val="nil"/>
              <w:bottom w:val="nil"/>
              <w:right w:val="nil"/>
            </w:tcBorders>
            <w:shd w:val="clear" w:color="auto" w:fill="auto"/>
            <w:noWrap/>
            <w:vAlign w:val="bottom"/>
            <w:hideMark/>
          </w:tcPr>
          <w:p w14:paraId="3B503250" w14:textId="77777777" w:rsidR="00DE3C8E" w:rsidRPr="00DE3C8E" w:rsidRDefault="00DE3C8E" w:rsidP="00DE3C8E">
            <w:pPr>
              <w:rPr>
                <w:rFonts w:asciiTheme="majorHAnsi" w:eastAsia="Times New Roman" w:hAnsiTheme="majorHAnsi" w:cstheme="majorHAnsi"/>
                <w:i/>
                <w:iCs/>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0EA6E9E7"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-0.030**</w:t>
            </w:r>
          </w:p>
        </w:tc>
        <w:tc>
          <w:tcPr>
            <w:tcW w:w="1340" w:type="dxa"/>
            <w:tcBorders>
              <w:top w:val="nil"/>
              <w:left w:val="nil"/>
              <w:bottom w:val="nil"/>
              <w:right w:val="nil"/>
            </w:tcBorders>
            <w:shd w:val="clear" w:color="auto" w:fill="auto"/>
            <w:noWrap/>
            <w:vAlign w:val="bottom"/>
            <w:hideMark/>
          </w:tcPr>
          <w:p w14:paraId="3467F74B"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-0.033***</w:t>
            </w:r>
          </w:p>
        </w:tc>
      </w:tr>
      <w:tr w:rsidR="00DE3C8E" w:rsidRPr="00DE3C8E" w14:paraId="059E29F7"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360589D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0D86B602" w14:textId="77777777" w:rsidR="00DE3C8E" w:rsidRPr="00DE3C8E" w:rsidRDefault="00DE3C8E" w:rsidP="00DE3C8E">
            <w:pPr>
              <w:rPr>
                <w:rFonts w:asciiTheme="majorHAnsi" w:eastAsia="Times New Roman" w:hAnsiTheme="majorHAnsi" w:cstheme="majorHAnsi"/>
                <w:sz w:val="20"/>
                <w:szCs w:val="20"/>
                <w:lang w:eastAsia="en-AU"/>
              </w:rPr>
            </w:pPr>
          </w:p>
        </w:tc>
        <w:tc>
          <w:tcPr>
            <w:tcW w:w="1340" w:type="dxa"/>
            <w:tcBorders>
              <w:top w:val="nil"/>
              <w:left w:val="nil"/>
              <w:bottom w:val="nil"/>
              <w:right w:val="nil"/>
            </w:tcBorders>
            <w:shd w:val="clear" w:color="auto" w:fill="auto"/>
            <w:noWrap/>
            <w:vAlign w:val="bottom"/>
            <w:hideMark/>
          </w:tcPr>
          <w:p w14:paraId="04013296"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[-3.910]</w:t>
            </w:r>
          </w:p>
        </w:tc>
        <w:tc>
          <w:tcPr>
            <w:tcW w:w="1340" w:type="dxa"/>
            <w:tcBorders>
              <w:top w:val="nil"/>
              <w:left w:val="nil"/>
              <w:bottom w:val="nil"/>
              <w:right w:val="nil"/>
            </w:tcBorders>
            <w:shd w:val="clear" w:color="auto" w:fill="auto"/>
            <w:noWrap/>
            <w:vAlign w:val="bottom"/>
            <w:hideMark/>
          </w:tcPr>
          <w:p w14:paraId="3CFE5F6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[-5.246]</w:t>
            </w:r>
          </w:p>
        </w:tc>
      </w:tr>
      <w:tr w:rsidR="00DE3C8E" w:rsidRPr="00DE3C8E" w14:paraId="35016EC2"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FBCA9C5"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RPT/TOTAL ASSETS</w:t>
            </w:r>
          </w:p>
        </w:tc>
        <w:tc>
          <w:tcPr>
            <w:tcW w:w="1340" w:type="dxa"/>
            <w:tcBorders>
              <w:top w:val="nil"/>
              <w:left w:val="nil"/>
              <w:bottom w:val="nil"/>
              <w:right w:val="nil"/>
            </w:tcBorders>
            <w:shd w:val="clear" w:color="auto" w:fill="auto"/>
            <w:noWrap/>
            <w:vAlign w:val="bottom"/>
            <w:hideMark/>
          </w:tcPr>
          <w:p w14:paraId="23C9B78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0.002</w:t>
            </w:r>
          </w:p>
        </w:tc>
        <w:tc>
          <w:tcPr>
            <w:tcW w:w="1340" w:type="dxa"/>
            <w:tcBorders>
              <w:top w:val="nil"/>
              <w:left w:val="nil"/>
              <w:bottom w:val="nil"/>
              <w:right w:val="nil"/>
            </w:tcBorders>
            <w:shd w:val="clear" w:color="auto" w:fill="auto"/>
            <w:noWrap/>
            <w:vAlign w:val="bottom"/>
            <w:hideMark/>
          </w:tcPr>
          <w:p w14:paraId="0C9231B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0.003</w:t>
            </w:r>
          </w:p>
        </w:tc>
        <w:tc>
          <w:tcPr>
            <w:tcW w:w="1340" w:type="dxa"/>
            <w:tcBorders>
              <w:top w:val="nil"/>
              <w:left w:val="nil"/>
              <w:bottom w:val="nil"/>
              <w:right w:val="nil"/>
            </w:tcBorders>
            <w:shd w:val="clear" w:color="auto" w:fill="auto"/>
            <w:noWrap/>
            <w:vAlign w:val="bottom"/>
            <w:hideMark/>
          </w:tcPr>
          <w:p w14:paraId="5F896556"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0.003</w:t>
            </w:r>
          </w:p>
        </w:tc>
      </w:tr>
      <w:tr w:rsidR="00DE3C8E" w:rsidRPr="00DE3C8E" w14:paraId="2F67847A"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302CC2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6D5E3560"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[1.322]</w:t>
            </w:r>
          </w:p>
        </w:tc>
        <w:tc>
          <w:tcPr>
            <w:tcW w:w="1340" w:type="dxa"/>
            <w:tcBorders>
              <w:top w:val="nil"/>
              <w:left w:val="nil"/>
              <w:bottom w:val="nil"/>
              <w:right w:val="nil"/>
            </w:tcBorders>
            <w:shd w:val="clear" w:color="auto" w:fill="auto"/>
            <w:noWrap/>
            <w:vAlign w:val="bottom"/>
            <w:hideMark/>
          </w:tcPr>
          <w:p w14:paraId="52329BD6"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[1.486]</w:t>
            </w:r>
          </w:p>
        </w:tc>
        <w:tc>
          <w:tcPr>
            <w:tcW w:w="1340" w:type="dxa"/>
            <w:tcBorders>
              <w:top w:val="nil"/>
              <w:left w:val="nil"/>
              <w:bottom w:val="nil"/>
              <w:right w:val="nil"/>
            </w:tcBorders>
            <w:shd w:val="clear" w:color="auto" w:fill="auto"/>
            <w:noWrap/>
            <w:vAlign w:val="bottom"/>
            <w:hideMark/>
          </w:tcPr>
          <w:p w14:paraId="7A91333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[1.588]</w:t>
            </w:r>
          </w:p>
        </w:tc>
      </w:tr>
      <w:tr w:rsidR="00DE3C8E" w:rsidRPr="00DE3C8E" w14:paraId="311241A9"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31520394"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 INDEPENDENT DIRECTORS</w:t>
            </w:r>
          </w:p>
        </w:tc>
        <w:tc>
          <w:tcPr>
            <w:tcW w:w="1340" w:type="dxa"/>
            <w:tcBorders>
              <w:top w:val="nil"/>
              <w:left w:val="nil"/>
              <w:bottom w:val="nil"/>
              <w:right w:val="nil"/>
            </w:tcBorders>
            <w:shd w:val="clear" w:color="auto" w:fill="auto"/>
            <w:noWrap/>
            <w:vAlign w:val="bottom"/>
            <w:hideMark/>
          </w:tcPr>
          <w:p w14:paraId="326014A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-0.053</w:t>
            </w:r>
          </w:p>
        </w:tc>
        <w:tc>
          <w:tcPr>
            <w:tcW w:w="1340" w:type="dxa"/>
            <w:tcBorders>
              <w:top w:val="nil"/>
              <w:left w:val="nil"/>
              <w:bottom w:val="nil"/>
              <w:right w:val="nil"/>
            </w:tcBorders>
            <w:shd w:val="clear" w:color="auto" w:fill="auto"/>
            <w:noWrap/>
            <w:vAlign w:val="bottom"/>
            <w:hideMark/>
          </w:tcPr>
          <w:p w14:paraId="2B04A32F"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-0.061</w:t>
            </w:r>
          </w:p>
        </w:tc>
        <w:tc>
          <w:tcPr>
            <w:tcW w:w="1340" w:type="dxa"/>
            <w:tcBorders>
              <w:top w:val="nil"/>
              <w:left w:val="nil"/>
              <w:bottom w:val="nil"/>
              <w:right w:val="nil"/>
            </w:tcBorders>
            <w:shd w:val="clear" w:color="auto" w:fill="auto"/>
            <w:noWrap/>
            <w:vAlign w:val="bottom"/>
            <w:hideMark/>
          </w:tcPr>
          <w:p w14:paraId="6BF5001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-0.054</w:t>
            </w:r>
          </w:p>
        </w:tc>
      </w:tr>
      <w:tr w:rsidR="00DE3C8E" w:rsidRPr="00DE3C8E" w14:paraId="7D914029"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246DC43E"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220E3BD1"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[-0.667]</w:t>
            </w:r>
          </w:p>
        </w:tc>
        <w:tc>
          <w:tcPr>
            <w:tcW w:w="1340" w:type="dxa"/>
            <w:tcBorders>
              <w:top w:val="nil"/>
              <w:left w:val="nil"/>
              <w:bottom w:val="nil"/>
              <w:right w:val="nil"/>
            </w:tcBorders>
            <w:shd w:val="clear" w:color="auto" w:fill="auto"/>
            <w:noWrap/>
            <w:vAlign w:val="bottom"/>
            <w:hideMark/>
          </w:tcPr>
          <w:p w14:paraId="17198AB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[-0.778]</w:t>
            </w:r>
          </w:p>
        </w:tc>
        <w:tc>
          <w:tcPr>
            <w:tcW w:w="1340" w:type="dxa"/>
            <w:tcBorders>
              <w:top w:val="nil"/>
              <w:left w:val="nil"/>
              <w:bottom w:val="nil"/>
              <w:right w:val="nil"/>
            </w:tcBorders>
            <w:shd w:val="clear" w:color="auto" w:fill="auto"/>
            <w:noWrap/>
            <w:vAlign w:val="bottom"/>
            <w:hideMark/>
          </w:tcPr>
          <w:p w14:paraId="49EBFE8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[-0.680]</w:t>
            </w:r>
          </w:p>
        </w:tc>
      </w:tr>
      <w:tr w:rsidR="00DE3C8E" w:rsidRPr="00DE3C8E" w14:paraId="334A6E6C"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48575609"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PROMOTERS HOLDING</w:t>
            </w:r>
          </w:p>
        </w:tc>
        <w:tc>
          <w:tcPr>
            <w:tcW w:w="1340" w:type="dxa"/>
            <w:tcBorders>
              <w:top w:val="nil"/>
              <w:left w:val="nil"/>
              <w:bottom w:val="nil"/>
              <w:right w:val="nil"/>
            </w:tcBorders>
            <w:shd w:val="clear" w:color="auto" w:fill="auto"/>
            <w:noWrap/>
            <w:vAlign w:val="bottom"/>
            <w:hideMark/>
          </w:tcPr>
          <w:p w14:paraId="598C7BE6"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c>
          <w:tcPr>
            <w:tcW w:w="1340" w:type="dxa"/>
            <w:tcBorders>
              <w:top w:val="nil"/>
              <w:left w:val="nil"/>
              <w:bottom w:val="nil"/>
              <w:right w:val="nil"/>
            </w:tcBorders>
            <w:shd w:val="clear" w:color="auto" w:fill="auto"/>
            <w:noWrap/>
            <w:vAlign w:val="bottom"/>
            <w:hideMark/>
          </w:tcPr>
          <w:p w14:paraId="7D79FE38"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c>
          <w:tcPr>
            <w:tcW w:w="1340" w:type="dxa"/>
            <w:tcBorders>
              <w:top w:val="nil"/>
              <w:left w:val="nil"/>
              <w:bottom w:val="nil"/>
              <w:right w:val="nil"/>
            </w:tcBorders>
            <w:shd w:val="clear" w:color="auto" w:fill="auto"/>
            <w:noWrap/>
            <w:vAlign w:val="bottom"/>
            <w:hideMark/>
          </w:tcPr>
          <w:p w14:paraId="4C1A981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r>
      <w:tr w:rsidR="00DE3C8E" w:rsidRPr="00DE3C8E" w14:paraId="72310CD3"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497AEF90"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0C454859"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[0.573]</w:t>
            </w:r>
          </w:p>
        </w:tc>
        <w:tc>
          <w:tcPr>
            <w:tcW w:w="1340" w:type="dxa"/>
            <w:tcBorders>
              <w:top w:val="nil"/>
              <w:left w:val="nil"/>
              <w:bottom w:val="nil"/>
              <w:right w:val="nil"/>
            </w:tcBorders>
            <w:shd w:val="clear" w:color="auto" w:fill="auto"/>
            <w:noWrap/>
            <w:vAlign w:val="bottom"/>
            <w:hideMark/>
          </w:tcPr>
          <w:p w14:paraId="58F53A6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[0.780]</w:t>
            </w:r>
          </w:p>
        </w:tc>
        <w:tc>
          <w:tcPr>
            <w:tcW w:w="1340" w:type="dxa"/>
            <w:tcBorders>
              <w:top w:val="nil"/>
              <w:left w:val="nil"/>
              <w:bottom w:val="nil"/>
              <w:right w:val="nil"/>
            </w:tcBorders>
            <w:shd w:val="clear" w:color="auto" w:fill="auto"/>
            <w:noWrap/>
            <w:vAlign w:val="bottom"/>
            <w:hideMark/>
          </w:tcPr>
          <w:p w14:paraId="52CF34FF"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[0.831]</w:t>
            </w:r>
          </w:p>
        </w:tc>
      </w:tr>
      <w:tr w:rsidR="00DE3C8E" w:rsidRPr="00DE3C8E" w14:paraId="1A48E27D"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5EC5F3F6"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SIZE</w:t>
            </w:r>
          </w:p>
        </w:tc>
        <w:tc>
          <w:tcPr>
            <w:tcW w:w="1340" w:type="dxa"/>
            <w:tcBorders>
              <w:top w:val="nil"/>
              <w:left w:val="nil"/>
              <w:bottom w:val="nil"/>
              <w:right w:val="nil"/>
            </w:tcBorders>
            <w:shd w:val="clear" w:color="auto" w:fill="auto"/>
            <w:noWrap/>
            <w:vAlign w:val="bottom"/>
            <w:hideMark/>
          </w:tcPr>
          <w:p w14:paraId="6B2D013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-0.000</w:t>
            </w:r>
          </w:p>
        </w:tc>
        <w:tc>
          <w:tcPr>
            <w:tcW w:w="1340" w:type="dxa"/>
            <w:tcBorders>
              <w:top w:val="nil"/>
              <w:left w:val="nil"/>
              <w:bottom w:val="nil"/>
              <w:right w:val="nil"/>
            </w:tcBorders>
            <w:shd w:val="clear" w:color="auto" w:fill="auto"/>
            <w:noWrap/>
            <w:vAlign w:val="bottom"/>
            <w:hideMark/>
          </w:tcPr>
          <w:p w14:paraId="389403C1"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-0.002</w:t>
            </w:r>
          </w:p>
        </w:tc>
        <w:tc>
          <w:tcPr>
            <w:tcW w:w="1340" w:type="dxa"/>
            <w:tcBorders>
              <w:top w:val="nil"/>
              <w:left w:val="nil"/>
              <w:bottom w:val="nil"/>
              <w:right w:val="nil"/>
            </w:tcBorders>
            <w:shd w:val="clear" w:color="auto" w:fill="auto"/>
            <w:noWrap/>
            <w:vAlign w:val="bottom"/>
            <w:hideMark/>
          </w:tcPr>
          <w:p w14:paraId="2160D14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-0.001</w:t>
            </w:r>
          </w:p>
        </w:tc>
      </w:tr>
      <w:tr w:rsidR="00DE3C8E" w:rsidRPr="00DE3C8E" w14:paraId="5BEDC3FA"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7925A581"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344B4CB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[-0.035]</w:t>
            </w:r>
          </w:p>
        </w:tc>
        <w:tc>
          <w:tcPr>
            <w:tcW w:w="1340" w:type="dxa"/>
            <w:tcBorders>
              <w:top w:val="nil"/>
              <w:left w:val="nil"/>
              <w:bottom w:val="nil"/>
              <w:right w:val="nil"/>
            </w:tcBorders>
            <w:shd w:val="clear" w:color="auto" w:fill="auto"/>
            <w:noWrap/>
            <w:vAlign w:val="bottom"/>
            <w:hideMark/>
          </w:tcPr>
          <w:p w14:paraId="47CBA056"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[-0.376]</w:t>
            </w:r>
          </w:p>
        </w:tc>
        <w:tc>
          <w:tcPr>
            <w:tcW w:w="1340" w:type="dxa"/>
            <w:tcBorders>
              <w:top w:val="nil"/>
              <w:left w:val="nil"/>
              <w:bottom w:val="nil"/>
              <w:right w:val="nil"/>
            </w:tcBorders>
            <w:shd w:val="clear" w:color="auto" w:fill="auto"/>
            <w:noWrap/>
            <w:vAlign w:val="bottom"/>
            <w:hideMark/>
          </w:tcPr>
          <w:p w14:paraId="69D2ED7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[-0.153]</w:t>
            </w:r>
          </w:p>
        </w:tc>
      </w:tr>
      <w:tr w:rsidR="00DE3C8E" w:rsidRPr="00DE3C8E" w14:paraId="37B51120"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4B84396B"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PRICE-TO-BOOK</w:t>
            </w:r>
          </w:p>
        </w:tc>
        <w:tc>
          <w:tcPr>
            <w:tcW w:w="1340" w:type="dxa"/>
            <w:tcBorders>
              <w:top w:val="nil"/>
              <w:left w:val="nil"/>
              <w:bottom w:val="nil"/>
              <w:right w:val="nil"/>
            </w:tcBorders>
            <w:shd w:val="clear" w:color="auto" w:fill="auto"/>
            <w:noWrap/>
            <w:vAlign w:val="bottom"/>
            <w:hideMark/>
          </w:tcPr>
          <w:p w14:paraId="2A9B916B"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0.004***</w:t>
            </w:r>
          </w:p>
        </w:tc>
        <w:tc>
          <w:tcPr>
            <w:tcW w:w="1340" w:type="dxa"/>
            <w:tcBorders>
              <w:top w:val="nil"/>
              <w:left w:val="nil"/>
              <w:bottom w:val="nil"/>
              <w:right w:val="nil"/>
            </w:tcBorders>
            <w:shd w:val="clear" w:color="auto" w:fill="auto"/>
            <w:noWrap/>
            <w:vAlign w:val="bottom"/>
            <w:hideMark/>
          </w:tcPr>
          <w:p w14:paraId="2D267DA7"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0.004***</w:t>
            </w:r>
          </w:p>
        </w:tc>
        <w:tc>
          <w:tcPr>
            <w:tcW w:w="1340" w:type="dxa"/>
            <w:tcBorders>
              <w:top w:val="nil"/>
              <w:left w:val="nil"/>
              <w:bottom w:val="nil"/>
              <w:right w:val="nil"/>
            </w:tcBorders>
            <w:shd w:val="clear" w:color="auto" w:fill="auto"/>
            <w:noWrap/>
            <w:vAlign w:val="bottom"/>
            <w:hideMark/>
          </w:tcPr>
          <w:p w14:paraId="38AF49F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0.004***</w:t>
            </w:r>
          </w:p>
        </w:tc>
      </w:tr>
      <w:tr w:rsidR="00DE3C8E" w:rsidRPr="00DE3C8E" w14:paraId="4BB156DE"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385EB94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24F71C5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[5.313]</w:t>
            </w:r>
          </w:p>
        </w:tc>
        <w:tc>
          <w:tcPr>
            <w:tcW w:w="1340" w:type="dxa"/>
            <w:tcBorders>
              <w:top w:val="nil"/>
              <w:left w:val="nil"/>
              <w:bottom w:val="nil"/>
              <w:right w:val="nil"/>
            </w:tcBorders>
            <w:shd w:val="clear" w:color="auto" w:fill="auto"/>
            <w:noWrap/>
            <w:vAlign w:val="bottom"/>
            <w:hideMark/>
          </w:tcPr>
          <w:p w14:paraId="3707AC0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[5.311]</w:t>
            </w:r>
          </w:p>
        </w:tc>
        <w:tc>
          <w:tcPr>
            <w:tcW w:w="1340" w:type="dxa"/>
            <w:tcBorders>
              <w:top w:val="nil"/>
              <w:left w:val="nil"/>
              <w:bottom w:val="nil"/>
              <w:right w:val="nil"/>
            </w:tcBorders>
            <w:shd w:val="clear" w:color="auto" w:fill="auto"/>
            <w:noWrap/>
            <w:vAlign w:val="bottom"/>
            <w:hideMark/>
          </w:tcPr>
          <w:p w14:paraId="3C600BC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[5.138]</w:t>
            </w:r>
          </w:p>
        </w:tc>
      </w:tr>
      <w:tr w:rsidR="00DE3C8E" w:rsidRPr="00DE3C8E" w14:paraId="4288CAF0"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6D5E609B"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ANNUAL RETURNS</w:t>
            </w:r>
          </w:p>
        </w:tc>
        <w:tc>
          <w:tcPr>
            <w:tcW w:w="1340" w:type="dxa"/>
            <w:tcBorders>
              <w:top w:val="nil"/>
              <w:left w:val="nil"/>
              <w:bottom w:val="nil"/>
              <w:right w:val="nil"/>
            </w:tcBorders>
            <w:shd w:val="clear" w:color="auto" w:fill="auto"/>
            <w:noWrap/>
            <w:vAlign w:val="bottom"/>
            <w:hideMark/>
          </w:tcPr>
          <w:p w14:paraId="58AD11F8"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0.023</w:t>
            </w:r>
          </w:p>
        </w:tc>
        <w:tc>
          <w:tcPr>
            <w:tcW w:w="1340" w:type="dxa"/>
            <w:tcBorders>
              <w:top w:val="nil"/>
              <w:left w:val="nil"/>
              <w:bottom w:val="nil"/>
              <w:right w:val="nil"/>
            </w:tcBorders>
            <w:shd w:val="clear" w:color="auto" w:fill="auto"/>
            <w:noWrap/>
            <w:vAlign w:val="bottom"/>
            <w:hideMark/>
          </w:tcPr>
          <w:p w14:paraId="0297341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0.022</w:t>
            </w:r>
          </w:p>
        </w:tc>
        <w:tc>
          <w:tcPr>
            <w:tcW w:w="1340" w:type="dxa"/>
            <w:tcBorders>
              <w:top w:val="nil"/>
              <w:left w:val="nil"/>
              <w:bottom w:val="nil"/>
              <w:right w:val="nil"/>
            </w:tcBorders>
            <w:shd w:val="clear" w:color="auto" w:fill="auto"/>
            <w:noWrap/>
            <w:vAlign w:val="bottom"/>
            <w:hideMark/>
          </w:tcPr>
          <w:p w14:paraId="7DB5CD10"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0.021</w:t>
            </w:r>
          </w:p>
        </w:tc>
      </w:tr>
      <w:tr w:rsidR="00DE3C8E" w:rsidRPr="00DE3C8E" w14:paraId="3A659710"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4DE27C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29A9389E"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[1.147]</w:t>
            </w:r>
          </w:p>
        </w:tc>
        <w:tc>
          <w:tcPr>
            <w:tcW w:w="1340" w:type="dxa"/>
            <w:tcBorders>
              <w:top w:val="nil"/>
              <w:left w:val="nil"/>
              <w:bottom w:val="nil"/>
              <w:right w:val="nil"/>
            </w:tcBorders>
            <w:shd w:val="clear" w:color="auto" w:fill="auto"/>
            <w:noWrap/>
            <w:vAlign w:val="bottom"/>
            <w:hideMark/>
          </w:tcPr>
          <w:p w14:paraId="5BEDBCC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[1.154]</w:t>
            </w:r>
          </w:p>
        </w:tc>
        <w:tc>
          <w:tcPr>
            <w:tcW w:w="1340" w:type="dxa"/>
            <w:tcBorders>
              <w:top w:val="nil"/>
              <w:left w:val="nil"/>
              <w:bottom w:val="nil"/>
              <w:right w:val="nil"/>
            </w:tcBorders>
            <w:shd w:val="clear" w:color="auto" w:fill="auto"/>
            <w:noWrap/>
            <w:vAlign w:val="bottom"/>
            <w:hideMark/>
          </w:tcPr>
          <w:p w14:paraId="4A6FB452"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[1.129]</w:t>
            </w:r>
          </w:p>
        </w:tc>
      </w:tr>
      <w:tr w:rsidR="00DE3C8E" w:rsidRPr="00DE3C8E" w14:paraId="4FAC97C8"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66612284"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STD DEV RETURNS</w:t>
            </w:r>
          </w:p>
        </w:tc>
        <w:tc>
          <w:tcPr>
            <w:tcW w:w="1340" w:type="dxa"/>
            <w:tcBorders>
              <w:top w:val="nil"/>
              <w:left w:val="nil"/>
              <w:bottom w:val="nil"/>
              <w:right w:val="nil"/>
            </w:tcBorders>
            <w:shd w:val="clear" w:color="auto" w:fill="auto"/>
            <w:noWrap/>
            <w:vAlign w:val="bottom"/>
            <w:hideMark/>
          </w:tcPr>
          <w:p w14:paraId="37761CC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-0.557***</w:t>
            </w:r>
          </w:p>
        </w:tc>
        <w:tc>
          <w:tcPr>
            <w:tcW w:w="1340" w:type="dxa"/>
            <w:tcBorders>
              <w:top w:val="nil"/>
              <w:left w:val="nil"/>
              <w:bottom w:val="nil"/>
              <w:right w:val="nil"/>
            </w:tcBorders>
            <w:shd w:val="clear" w:color="auto" w:fill="auto"/>
            <w:noWrap/>
            <w:vAlign w:val="bottom"/>
            <w:hideMark/>
          </w:tcPr>
          <w:p w14:paraId="493A338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-0.585***</w:t>
            </w:r>
          </w:p>
        </w:tc>
        <w:tc>
          <w:tcPr>
            <w:tcW w:w="1340" w:type="dxa"/>
            <w:tcBorders>
              <w:top w:val="nil"/>
              <w:left w:val="nil"/>
              <w:bottom w:val="nil"/>
              <w:right w:val="nil"/>
            </w:tcBorders>
            <w:shd w:val="clear" w:color="auto" w:fill="auto"/>
            <w:noWrap/>
            <w:vAlign w:val="bottom"/>
            <w:hideMark/>
          </w:tcPr>
          <w:p w14:paraId="58D71E27"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-0.580***</w:t>
            </w:r>
          </w:p>
        </w:tc>
      </w:tr>
      <w:tr w:rsidR="00DE3C8E" w:rsidRPr="00DE3C8E" w14:paraId="59F23E02"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2B47B6C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793C22C5"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[-7.160]</w:t>
            </w:r>
          </w:p>
        </w:tc>
        <w:tc>
          <w:tcPr>
            <w:tcW w:w="1340" w:type="dxa"/>
            <w:tcBorders>
              <w:top w:val="nil"/>
              <w:left w:val="nil"/>
              <w:bottom w:val="nil"/>
              <w:right w:val="nil"/>
            </w:tcBorders>
            <w:shd w:val="clear" w:color="auto" w:fill="auto"/>
            <w:noWrap/>
            <w:vAlign w:val="bottom"/>
            <w:hideMark/>
          </w:tcPr>
          <w:p w14:paraId="130ED309"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[-8.542]</w:t>
            </w:r>
          </w:p>
        </w:tc>
        <w:tc>
          <w:tcPr>
            <w:tcW w:w="1340" w:type="dxa"/>
            <w:tcBorders>
              <w:top w:val="nil"/>
              <w:left w:val="nil"/>
              <w:bottom w:val="nil"/>
              <w:right w:val="nil"/>
            </w:tcBorders>
            <w:shd w:val="clear" w:color="auto" w:fill="auto"/>
            <w:noWrap/>
            <w:vAlign w:val="bottom"/>
            <w:hideMark/>
          </w:tcPr>
          <w:p w14:paraId="3AC2B04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[-8.456]</w:t>
            </w:r>
          </w:p>
        </w:tc>
      </w:tr>
      <w:tr w:rsidR="00DE3C8E" w:rsidRPr="00DE3C8E" w14:paraId="13623ECC"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3D41A9DE" w14:textId="77777777" w:rsidR="00DE3C8E" w:rsidRPr="00DE3C8E" w:rsidRDefault="00DE3C8E" w:rsidP="00DE3C8E">
            <w:pPr>
              <w:rPr>
                <w:rFonts w:asciiTheme="majorHAnsi" w:eastAsia="Times New Roman" w:hAnsiTheme="majorHAnsi" w:cstheme="majorHAnsi"/>
                <w:i/>
                <w:iCs/>
                <w:color w:val="000000"/>
                <w:sz w:val="20"/>
                <w:szCs w:val="20"/>
                <w:lang w:eastAsia="en-AU"/>
              </w:rPr>
            </w:pPr>
            <w:r w:rsidRPr="00DE3C8E">
              <w:rPr>
                <w:rFonts w:asciiTheme="majorHAnsi" w:eastAsia="Times New Roman" w:hAnsiTheme="majorHAnsi" w:cstheme="majorHAnsi"/>
                <w:i/>
                <w:iCs/>
                <w:color w:val="000000"/>
                <w:sz w:val="20"/>
                <w:szCs w:val="20"/>
                <w:lang w:eastAsia="en-AU"/>
              </w:rPr>
              <w:t>IIAS RECOMMENDATION</w:t>
            </w:r>
          </w:p>
        </w:tc>
        <w:tc>
          <w:tcPr>
            <w:tcW w:w="1340" w:type="dxa"/>
            <w:tcBorders>
              <w:top w:val="nil"/>
              <w:left w:val="nil"/>
              <w:bottom w:val="nil"/>
              <w:right w:val="nil"/>
            </w:tcBorders>
            <w:shd w:val="clear" w:color="auto" w:fill="auto"/>
            <w:noWrap/>
            <w:vAlign w:val="bottom"/>
            <w:hideMark/>
          </w:tcPr>
          <w:p w14:paraId="1B1E8D02"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0.009</w:t>
            </w:r>
          </w:p>
        </w:tc>
        <w:tc>
          <w:tcPr>
            <w:tcW w:w="1340" w:type="dxa"/>
            <w:tcBorders>
              <w:top w:val="nil"/>
              <w:left w:val="nil"/>
              <w:bottom w:val="nil"/>
              <w:right w:val="nil"/>
            </w:tcBorders>
            <w:shd w:val="clear" w:color="auto" w:fill="auto"/>
            <w:noWrap/>
            <w:vAlign w:val="bottom"/>
            <w:hideMark/>
          </w:tcPr>
          <w:p w14:paraId="7E1433A7"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0.008</w:t>
            </w:r>
          </w:p>
        </w:tc>
        <w:tc>
          <w:tcPr>
            <w:tcW w:w="1340" w:type="dxa"/>
            <w:tcBorders>
              <w:top w:val="nil"/>
              <w:left w:val="nil"/>
              <w:bottom w:val="nil"/>
              <w:right w:val="nil"/>
            </w:tcBorders>
            <w:shd w:val="clear" w:color="auto" w:fill="auto"/>
            <w:noWrap/>
            <w:vAlign w:val="bottom"/>
            <w:hideMark/>
          </w:tcPr>
          <w:p w14:paraId="680E9B21"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0.009</w:t>
            </w:r>
          </w:p>
        </w:tc>
      </w:tr>
      <w:tr w:rsidR="00DE3C8E" w:rsidRPr="00DE3C8E" w14:paraId="2AB7EE5D"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3B0FCA9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67DCACD8"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[0.481]</w:t>
            </w:r>
          </w:p>
        </w:tc>
        <w:tc>
          <w:tcPr>
            <w:tcW w:w="1340" w:type="dxa"/>
            <w:tcBorders>
              <w:top w:val="nil"/>
              <w:left w:val="nil"/>
              <w:bottom w:val="nil"/>
              <w:right w:val="nil"/>
            </w:tcBorders>
            <w:shd w:val="clear" w:color="auto" w:fill="auto"/>
            <w:noWrap/>
            <w:vAlign w:val="bottom"/>
            <w:hideMark/>
          </w:tcPr>
          <w:p w14:paraId="17DFC312"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[0.413]</w:t>
            </w:r>
          </w:p>
        </w:tc>
        <w:tc>
          <w:tcPr>
            <w:tcW w:w="1340" w:type="dxa"/>
            <w:tcBorders>
              <w:top w:val="nil"/>
              <w:left w:val="nil"/>
              <w:bottom w:val="nil"/>
              <w:right w:val="nil"/>
            </w:tcBorders>
            <w:shd w:val="clear" w:color="auto" w:fill="auto"/>
            <w:noWrap/>
            <w:vAlign w:val="bottom"/>
            <w:hideMark/>
          </w:tcPr>
          <w:p w14:paraId="7E4B52E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[0.454]</w:t>
            </w:r>
          </w:p>
        </w:tc>
      </w:tr>
      <w:tr w:rsidR="00DE3C8E" w:rsidRPr="00DE3C8E" w14:paraId="534CED68"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6D40313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52ADC7A0" w14:textId="77777777" w:rsidR="00DE3C8E" w:rsidRPr="00DE3C8E" w:rsidRDefault="00DE3C8E" w:rsidP="00DE3C8E">
            <w:pPr>
              <w:rPr>
                <w:rFonts w:asciiTheme="majorHAnsi" w:eastAsia="Times New Roman" w:hAnsiTheme="majorHAnsi" w:cstheme="majorHAnsi"/>
                <w:sz w:val="20"/>
                <w:szCs w:val="20"/>
                <w:lang w:eastAsia="en-AU"/>
              </w:rPr>
            </w:pPr>
          </w:p>
        </w:tc>
        <w:tc>
          <w:tcPr>
            <w:tcW w:w="1340" w:type="dxa"/>
            <w:tcBorders>
              <w:top w:val="nil"/>
              <w:left w:val="nil"/>
              <w:bottom w:val="nil"/>
              <w:right w:val="nil"/>
            </w:tcBorders>
            <w:shd w:val="clear" w:color="auto" w:fill="auto"/>
            <w:noWrap/>
            <w:vAlign w:val="bottom"/>
            <w:hideMark/>
          </w:tcPr>
          <w:p w14:paraId="6FD036A4" w14:textId="77777777" w:rsidR="00DE3C8E" w:rsidRPr="00DE3C8E" w:rsidRDefault="00DE3C8E" w:rsidP="00DE3C8E">
            <w:pPr>
              <w:jc w:val="center"/>
              <w:rPr>
                <w:rFonts w:asciiTheme="majorHAnsi" w:eastAsia="Times New Roman" w:hAnsiTheme="majorHAnsi" w:cstheme="majorHAnsi"/>
                <w:sz w:val="20"/>
                <w:szCs w:val="20"/>
                <w:lang w:eastAsia="en-AU"/>
              </w:rPr>
            </w:pPr>
          </w:p>
        </w:tc>
        <w:tc>
          <w:tcPr>
            <w:tcW w:w="1340" w:type="dxa"/>
            <w:tcBorders>
              <w:top w:val="nil"/>
              <w:left w:val="nil"/>
              <w:bottom w:val="nil"/>
              <w:right w:val="nil"/>
            </w:tcBorders>
            <w:shd w:val="clear" w:color="auto" w:fill="auto"/>
            <w:noWrap/>
            <w:vAlign w:val="bottom"/>
            <w:hideMark/>
          </w:tcPr>
          <w:p w14:paraId="21CD128A" w14:textId="77777777" w:rsidR="00DE3C8E" w:rsidRPr="00DE3C8E" w:rsidRDefault="00DE3C8E" w:rsidP="00DE3C8E">
            <w:pPr>
              <w:jc w:val="center"/>
              <w:rPr>
                <w:rFonts w:asciiTheme="majorHAnsi" w:eastAsia="Times New Roman" w:hAnsiTheme="majorHAnsi" w:cstheme="majorHAnsi"/>
                <w:sz w:val="20"/>
                <w:szCs w:val="20"/>
                <w:lang w:eastAsia="en-AU"/>
              </w:rPr>
            </w:pPr>
          </w:p>
        </w:tc>
      </w:tr>
      <w:tr w:rsidR="00DE3C8E" w:rsidRPr="00DE3C8E" w14:paraId="0236EA2F"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493C8E3D" w14:textId="77777777" w:rsidR="00DE3C8E" w:rsidRPr="00DE3C8E" w:rsidRDefault="00DE3C8E" w:rsidP="00DE3C8E">
            <w:pP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Industry FE</w:t>
            </w:r>
          </w:p>
        </w:tc>
        <w:tc>
          <w:tcPr>
            <w:tcW w:w="1340" w:type="dxa"/>
            <w:tcBorders>
              <w:top w:val="nil"/>
              <w:left w:val="nil"/>
              <w:bottom w:val="nil"/>
              <w:right w:val="nil"/>
            </w:tcBorders>
            <w:shd w:val="clear" w:color="auto" w:fill="auto"/>
            <w:noWrap/>
            <w:vAlign w:val="bottom"/>
            <w:hideMark/>
          </w:tcPr>
          <w:p w14:paraId="3329A3B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c>
          <w:tcPr>
            <w:tcW w:w="1340" w:type="dxa"/>
            <w:tcBorders>
              <w:top w:val="nil"/>
              <w:left w:val="nil"/>
              <w:bottom w:val="nil"/>
              <w:right w:val="nil"/>
            </w:tcBorders>
            <w:shd w:val="clear" w:color="auto" w:fill="auto"/>
            <w:noWrap/>
            <w:vAlign w:val="bottom"/>
            <w:hideMark/>
          </w:tcPr>
          <w:p w14:paraId="5F7B3A83"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c>
          <w:tcPr>
            <w:tcW w:w="1340" w:type="dxa"/>
            <w:tcBorders>
              <w:top w:val="nil"/>
              <w:left w:val="nil"/>
              <w:bottom w:val="nil"/>
              <w:right w:val="nil"/>
            </w:tcBorders>
            <w:shd w:val="clear" w:color="auto" w:fill="auto"/>
            <w:noWrap/>
            <w:vAlign w:val="bottom"/>
            <w:hideMark/>
          </w:tcPr>
          <w:p w14:paraId="15809DE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r>
      <w:tr w:rsidR="00DE3C8E" w:rsidRPr="00DE3C8E" w14:paraId="5EB65666"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0FC2CE31" w14:textId="77777777" w:rsidR="00DE3C8E" w:rsidRPr="00DE3C8E" w:rsidRDefault="00DE3C8E" w:rsidP="00DE3C8E">
            <w:pP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Year FE</w:t>
            </w:r>
          </w:p>
        </w:tc>
        <w:tc>
          <w:tcPr>
            <w:tcW w:w="1340" w:type="dxa"/>
            <w:tcBorders>
              <w:top w:val="nil"/>
              <w:left w:val="nil"/>
              <w:bottom w:val="nil"/>
              <w:right w:val="nil"/>
            </w:tcBorders>
            <w:shd w:val="clear" w:color="auto" w:fill="auto"/>
            <w:noWrap/>
            <w:vAlign w:val="bottom"/>
            <w:hideMark/>
          </w:tcPr>
          <w:p w14:paraId="3F6CDB5C"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c>
          <w:tcPr>
            <w:tcW w:w="1340" w:type="dxa"/>
            <w:tcBorders>
              <w:top w:val="nil"/>
              <w:left w:val="nil"/>
              <w:bottom w:val="nil"/>
              <w:right w:val="nil"/>
            </w:tcBorders>
            <w:shd w:val="clear" w:color="auto" w:fill="auto"/>
            <w:noWrap/>
            <w:vAlign w:val="bottom"/>
            <w:hideMark/>
          </w:tcPr>
          <w:p w14:paraId="4E2833AF"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c>
          <w:tcPr>
            <w:tcW w:w="1340" w:type="dxa"/>
            <w:tcBorders>
              <w:top w:val="nil"/>
              <w:left w:val="nil"/>
              <w:bottom w:val="nil"/>
              <w:right w:val="nil"/>
            </w:tcBorders>
            <w:shd w:val="clear" w:color="auto" w:fill="auto"/>
            <w:noWrap/>
            <w:vAlign w:val="bottom"/>
            <w:hideMark/>
          </w:tcPr>
          <w:p w14:paraId="7753A38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YES</w:t>
            </w:r>
          </w:p>
        </w:tc>
      </w:tr>
      <w:tr w:rsidR="00DE3C8E" w:rsidRPr="00DE3C8E" w14:paraId="1968CF72"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141D82C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p>
        </w:tc>
        <w:tc>
          <w:tcPr>
            <w:tcW w:w="1340" w:type="dxa"/>
            <w:tcBorders>
              <w:top w:val="nil"/>
              <w:left w:val="nil"/>
              <w:bottom w:val="nil"/>
              <w:right w:val="nil"/>
            </w:tcBorders>
            <w:shd w:val="clear" w:color="auto" w:fill="auto"/>
            <w:noWrap/>
            <w:vAlign w:val="bottom"/>
            <w:hideMark/>
          </w:tcPr>
          <w:p w14:paraId="4B2E4868" w14:textId="77777777" w:rsidR="00DE3C8E" w:rsidRPr="00DE3C8E" w:rsidRDefault="00DE3C8E" w:rsidP="00DE3C8E">
            <w:pPr>
              <w:rPr>
                <w:rFonts w:asciiTheme="majorHAnsi" w:eastAsia="Times New Roman" w:hAnsiTheme="majorHAnsi" w:cstheme="majorHAnsi"/>
                <w:sz w:val="20"/>
                <w:szCs w:val="20"/>
                <w:lang w:eastAsia="en-AU"/>
              </w:rPr>
            </w:pPr>
          </w:p>
        </w:tc>
        <w:tc>
          <w:tcPr>
            <w:tcW w:w="1340" w:type="dxa"/>
            <w:tcBorders>
              <w:top w:val="nil"/>
              <w:left w:val="nil"/>
              <w:bottom w:val="nil"/>
              <w:right w:val="nil"/>
            </w:tcBorders>
            <w:shd w:val="clear" w:color="auto" w:fill="auto"/>
            <w:noWrap/>
            <w:vAlign w:val="bottom"/>
            <w:hideMark/>
          </w:tcPr>
          <w:p w14:paraId="499CA841" w14:textId="77777777" w:rsidR="00DE3C8E" w:rsidRPr="00DE3C8E" w:rsidRDefault="00DE3C8E" w:rsidP="00DE3C8E">
            <w:pPr>
              <w:jc w:val="center"/>
              <w:rPr>
                <w:rFonts w:asciiTheme="majorHAnsi" w:eastAsia="Times New Roman" w:hAnsiTheme="majorHAnsi" w:cstheme="majorHAnsi"/>
                <w:sz w:val="20"/>
                <w:szCs w:val="20"/>
                <w:lang w:eastAsia="en-AU"/>
              </w:rPr>
            </w:pPr>
          </w:p>
        </w:tc>
        <w:tc>
          <w:tcPr>
            <w:tcW w:w="1340" w:type="dxa"/>
            <w:tcBorders>
              <w:top w:val="nil"/>
              <w:left w:val="nil"/>
              <w:bottom w:val="nil"/>
              <w:right w:val="nil"/>
            </w:tcBorders>
            <w:shd w:val="clear" w:color="auto" w:fill="auto"/>
            <w:noWrap/>
            <w:vAlign w:val="bottom"/>
            <w:hideMark/>
          </w:tcPr>
          <w:p w14:paraId="19EFA3BA" w14:textId="77777777" w:rsidR="00DE3C8E" w:rsidRPr="00DE3C8E" w:rsidRDefault="00DE3C8E" w:rsidP="00DE3C8E">
            <w:pPr>
              <w:jc w:val="center"/>
              <w:rPr>
                <w:rFonts w:asciiTheme="majorHAnsi" w:eastAsia="Times New Roman" w:hAnsiTheme="majorHAnsi" w:cstheme="majorHAnsi"/>
                <w:sz w:val="20"/>
                <w:szCs w:val="20"/>
                <w:lang w:eastAsia="en-AU"/>
              </w:rPr>
            </w:pPr>
          </w:p>
        </w:tc>
      </w:tr>
      <w:tr w:rsidR="00DE3C8E" w:rsidRPr="00DE3C8E" w14:paraId="14AAA361" w14:textId="77777777" w:rsidTr="00DE3C8E">
        <w:trPr>
          <w:trHeight w:val="300"/>
          <w:jc w:val="center"/>
        </w:trPr>
        <w:tc>
          <w:tcPr>
            <w:tcW w:w="3540" w:type="dxa"/>
            <w:tcBorders>
              <w:top w:val="nil"/>
              <w:left w:val="nil"/>
              <w:bottom w:val="nil"/>
              <w:right w:val="nil"/>
            </w:tcBorders>
            <w:shd w:val="clear" w:color="auto" w:fill="auto"/>
            <w:noWrap/>
            <w:vAlign w:val="bottom"/>
            <w:hideMark/>
          </w:tcPr>
          <w:p w14:paraId="64EAF6B8" w14:textId="77777777" w:rsidR="00DE3C8E" w:rsidRPr="00DE3C8E" w:rsidRDefault="00DE3C8E" w:rsidP="00DE3C8E">
            <w:pP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Observations</w:t>
            </w:r>
          </w:p>
        </w:tc>
        <w:tc>
          <w:tcPr>
            <w:tcW w:w="1340" w:type="dxa"/>
            <w:tcBorders>
              <w:top w:val="nil"/>
              <w:left w:val="nil"/>
              <w:bottom w:val="nil"/>
              <w:right w:val="nil"/>
            </w:tcBorders>
            <w:shd w:val="clear" w:color="auto" w:fill="auto"/>
            <w:noWrap/>
            <w:vAlign w:val="bottom"/>
            <w:hideMark/>
          </w:tcPr>
          <w:p w14:paraId="2507D46D"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214</w:t>
            </w:r>
          </w:p>
        </w:tc>
        <w:tc>
          <w:tcPr>
            <w:tcW w:w="1340" w:type="dxa"/>
            <w:tcBorders>
              <w:top w:val="nil"/>
              <w:left w:val="nil"/>
              <w:bottom w:val="nil"/>
              <w:right w:val="nil"/>
            </w:tcBorders>
            <w:shd w:val="clear" w:color="auto" w:fill="auto"/>
            <w:noWrap/>
            <w:vAlign w:val="bottom"/>
            <w:hideMark/>
          </w:tcPr>
          <w:p w14:paraId="386D1C6F"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213</w:t>
            </w:r>
          </w:p>
        </w:tc>
        <w:tc>
          <w:tcPr>
            <w:tcW w:w="1340" w:type="dxa"/>
            <w:tcBorders>
              <w:top w:val="nil"/>
              <w:left w:val="nil"/>
              <w:bottom w:val="nil"/>
              <w:right w:val="nil"/>
            </w:tcBorders>
            <w:shd w:val="clear" w:color="auto" w:fill="auto"/>
            <w:noWrap/>
            <w:vAlign w:val="bottom"/>
            <w:hideMark/>
          </w:tcPr>
          <w:p w14:paraId="4CE8A910"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213</w:t>
            </w:r>
          </w:p>
        </w:tc>
      </w:tr>
      <w:tr w:rsidR="00DE3C8E" w:rsidRPr="00DE3C8E" w14:paraId="51F89633" w14:textId="77777777" w:rsidTr="00DE3C8E">
        <w:trPr>
          <w:trHeight w:val="300"/>
          <w:jc w:val="center"/>
        </w:trPr>
        <w:tc>
          <w:tcPr>
            <w:tcW w:w="3540" w:type="dxa"/>
            <w:tcBorders>
              <w:top w:val="nil"/>
              <w:left w:val="nil"/>
              <w:bottom w:val="single" w:sz="4" w:space="0" w:color="auto"/>
              <w:right w:val="nil"/>
            </w:tcBorders>
            <w:shd w:val="clear" w:color="auto" w:fill="auto"/>
            <w:noWrap/>
            <w:vAlign w:val="bottom"/>
            <w:hideMark/>
          </w:tcPr>
          <w:p w14:paraId="714A8E89" w14:textId="77777777" w:rsidR="00DE3C8E" w:rsidRPr="00DE3C8E" w:rsidRDefault="00DE3C8E" w:rsidP="00DE3C8E">
            <w:pP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R-squared</w:t>
            </w:r>
          </w:p>
        </w:tc>
        <w:tc>
          <w:tcPr>
            <w:tcW w:w="1340" w:type="dxa"/>
            <w:tcBorders>
              <w:top w:val="nil"/>
              <w:left w:val="nil"/>
              <w:bottom w:val="single" w:sz="4" w:space="0" w:color="auto"/>
              <w:right w:val="nil"/>
            </w:tcBorders>
            <w:shd w:val="clear" w:color="auto" w:fill="auto"/>
            <w:noWrap/>
            <w:vAlign w:val="bottom"/>
            <w:hideMark/>
          </w:tcPr>
          <w:p w14:paraId="544B16D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0.259</w:t>
            </w:r>
          </w:p>
        </w:tc>
        <w:tc>
          <w:tcPr>
            <w:tcW w:w="1340" w:type="dxa"/>
            <w:tcBorders>
              <w:top w:val="nil"/>
              <w:left w:val="nil"/>
              <w:bottom w:val="single" w:sz="4" w:space="0" w:color="auto"/>
              <w:right w:val="nil"/>
            </w:tcBorders>
            <w:shd w:val="clear" w:color="auto" w:fill="auto"/>
            <w:noWrap/>
            <w:vAlign w:val="bottom"/>
            <w:hideMark/>
          </w:tcPr>
          <w:p w14:paraId="5FB8976A"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0.269</w:t>
            </w:r>
          </w:p>
        </w:tc>
        <w:tc>
          <w:tcPr>
            <w:tcW w:w="1340" w:type="dxa"/>
            <w:tcBorders>
              <w:top w:val="nil"/>
              <w:left w:val="nil"/>
              <w:bottom w:val="single" w:sz="4" w:space="0" w:color="auto"/>
              <w:right w:val="nil"/>
            </w:tcBorders>
            <w:shd w:val="clear" w:color="auto" w:fill="auto"/>
            <w:noWrap/>
            <w:vAlign w:val="bottom"/>
            <w:hideMark/>
          </w:tcPr>
          <w:p w14:paraId="47959EC4" w14:textId="77777777" w:rsidR="00DE3C8E" w:rsidRPr="00DE3C8E" w:rsidRDefault="00DE3C8E" w:rsidP="00DE3C8E">
            <w:pPr>
              <w:jc w:val="center"/>
              <w:rPr>
                <w:rFonts w:asciiTheme="majorHAnsi" w:eastAsia="Times New Roman" w:hAnsiTheme="majorHAnsi" w:cstheme="majorHAnsi"/>
                <w:color w:val="000000"/>
                <w:sz w:val="20"/>
                <w:szCs w:val="20"/>
                <w:lang w:eastAsia="en-AU"/>
              </w:rPr>
            </w:pPr>
            <w:r w:rsidRPr="00DE3C8E">
              <w:rPr>
                <w:rFonts w:asciiTheme="majorHAnsi" w:eastAsia="Times New Roman" w:hAnsiTheme="majorHAnsi" w:cstheme="majorHAnsi"/>
                <w:color w:val="000000"/>
                <w:sz w:val="20"/>
                <w:szCs w:val="20"/>
                <w:lang w:eastAsia="en-AU"/>
              </w:rPr>
              <w:t>0.273</w:t>
            </w:r>
          </w:p>
        </w:tc>
      </w:tr>
    </w:tbl>
    <w:p w14:paraId="48F0B3E1" w14:textId="77777777" w:rsidR="00405C5A" w:rsidRPr="008F4CEC" w:rsidRDefault="00405C5A" w:rsidP="00011261">
      <w:pPr>
        <w:spacing w:line="480" w:lineRule="auto"/>
        <w:jc w:val="both"/>
        <w:rPr>
          <w:sz w:val="24"/>
        </w:rPr>
      </w:pPr>
    </w:p>
    <w:sectPr w:rsidR="00405C5A" w:rsidRPr="008F4CEC" w:rsidSect="005A61A0">
      <w:footerReference w:type="default" r:id="rId14"/>
      <w:footnotePr>
        <w:numRestart w:val="eachSect"/>
      </w:footnotePr>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ACCAE" w14:textId="77777777" w:rsidR="000B3014" w:rsidRDefault="000B3014" w:rsidP="00866F25">
      <w:r>
        <w:separator/>
      </w:r>
    </w:p>
  </w:endnote>
  <w:endnote w:type="continuationSeparator" w:id="0">
    <w:p w14:paraId="3A75B9B1" w14:textId="77777777" w:rsidR="000B3014" w:rsidRDefault="000B3014" w:rsidP="0086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1C7A" w14:textId="77777777" w:rsidR="002F6BB0" w:rsidRDefault="002F6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47F1" w14:textId="77777777" w:rsidR="002F6BB0" w:rsidRDefault="002F6BB0">
    <w:pPr>
      <w:pStyle w:val="Footer"/>
      <w:jc w:val="center"/>
    </w:pPr>
  </w:p>
  <w:p w14:paraId="03ADAD6A" w14:textId="77777777" w:rsidR="002F6BB0" w:rsidRDefault="002F6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7E58" w14:textId="77777777" w:rsidR="002F6BB0" w:rsidRDefault="002F6B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134214"/>
      <w:docPartObj>
        <w:docPartGallery w:val="Page Numbers (Bottom of Page)"/>
        <w:docPartUnique/>
      </w:docPartObj>
    </w:sdtPr>
    <w:sdtEndPr>
      <w:rPr>
        <w:noProof/>
      </w:rPr>
    </w:sdtEndPr>
    <w:sdtContent>
      <w:p w14:paraId="615E3001" w14:textId="51D53F98" w:rsidR="002F6BB0" w:rsidRDefault="002F6BB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5646EC7" w14:textId="77777777" w:rsidR="002F6BB0" w:rsidRDefault="002F6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053A" w14:textId="77777777" w:rsidR="000B3014" w:rsidRDefault="000B3014" w:rsidP="00866F25">
      <w:r>
        <w:separator/>
      </w:r>
    </w:p>
  </w:footnote>
  <w:footnote w:type="continuationSeparator" w:id="0">
    <w:p w14:paraId="39BA214D" w14:textId="77777777" w:rsidR="000B3014" w:rsidRDefault="000B3014" w:rsidP="00866F25">
      <w:r>
        <w:continuationSeparator/>
      </w:r>
    </w:p>
  </w:footnote>
  <w:footnote w:id="1">
    <w:p w14:paraId="4500F8A2" w14:textId="09FB4D03" w:rsidR="002F6BB0" w:rsidRDefault="002F6BB0">
      <w:pPr>
        <w:pStyle w:val="FootnoteText"/>
      </w:pPr>
      <w:r>
        <w:rPr>
          <w:rStyle w:val="FootnoteReference"/>
        </w:rPr>
        <w:footnoteRef/>
      </w:r>
      <w:r>
        <w:t xml:space="preserve"> We thank </w:t>
      </w:r>
      <w:r w:rsidRPr="002F6BB0">
        <w:t>Ashok Banerjee</w:t>
      </w:r>
      <w:r>
        <w:t xml:space="preserve"> (discussant), Kose John, and participants in the 2019 NSE-NYU conference for helpful comments. We appreciate financial support from a NSE-NYU research grant.</w:t>
      </w:r>
    </w:p>
  </w:footnote>
  <w:footnote w:id="2">
    <w:p w14:paraId="56CA1176" w14:textId="77777777" w:rsidR="002F6BB0" w:rsidRDefault="002F6BB0" w:rsidP="00583B95">
      <w:pPr>
        <w:pStyle w:val="FootnoteText"/>
      </w:pPr>
      <w:r>
        <w:rPr>
          <w:rStyle w:val="FootnoteReference"/>
        </w:rPr>
        <w:footnoteRef/>
      </w:r>
      <w:r>
        <w:t xml:space="preserve"> Expropriating RPTs can take many forms, such as purchasing goods and service from related parties at prices significantly higher than those in fair transactions, granting corporate loans to controlling shareholders or executives that carry no interest or penalty for non-payment, using corporate assets as a collateral to guarantee insiders’ loans from banks or other parties, leasing corporate assets to related parties at minimal cost, etc. </w:t>
      </w:r>
    </w:p>
  </w:footnote>
  <w:footnote w:id="3">
    <w:p w14:paraId="1707217E" w14:textId="77777777" w:rsidR="002F6BB0" w:rsidRDefault="002F6BB0" w:rsidP="0032740F">
      <w:pPr>
        <w:pStyle w:val="FootnoteText"/>
      </w:pPr>
      <w:r>
        <w:rPr>
          <w:rStyle w:val="FootnoteReference"/>
        </w:rPr>
        <w:footnoteRef/>
      </w:r>
      <w:r>
        <w:t xml:space="preserve"> These percentages are calculated based on the number of shares, rather than the number of investors. Relevant percentages are defined in the same way in the rest of the paper.</w:t>
      </w:r>
    </w:p>
  </w:footnote>
  <w:footnote w:id="4">
    <w:p w14:paraId="7104E877" w14:textId="48AF795B" w:rsidR="002F6BB0" w:rsidRDefault="002F6BB0">
      <w:pPr>
        <w:pStyle w:val="FootnoteText"/>
      </w:pPr>
      <w:r>
        <w:rPr>
          <w:rStyle w:val="FootnoteReference"/>
        </w:rPr>
        <w:footnoteRef/>
      </w:r>
      <w:r>
        <w:t xml:space="preserve"> The Companies Act 2013 was a major reform of the regulation and set rules on many other issues such as mandatory auditor rotation, female directors, managerial compensation, and expenditure on corporate social responsibility activities.</w:t>
      </w:r>
    </w:p>
  </w:footnote>
  <w:footnote w:id="5">
    <w:p w14:paraId="03C4232C" w14:textId="1E168C35" w:rsidR="002F6BB0" w:rsidRDefault="002F6BB0">
      <w:pPr>
        <w:pStyle w:val="FootnoteText"/>
      </w:pPr>
      <w:r>
        <w:rPr>
          <w:rStyle w:val="FootnoteReference"/>
        </w:rPr>
        <w:footnoteRef/>
      </w:r>
      <w:r>
        <w:t xml:space="preserve"> Appendix A reproduce the Section 23 of the </w:t>
      </w:r>
      <w:r w:rsidRPr="00DB0A89">
        <w:t>Listing Obligations and Disclosure Requirements</w:t>
      </w:r>
      <w:r>
        <w:t xml:space="preserve"> Regulations, as well as the definition of related parties in the Companies Act 2013.</w:t>
      </w:r>
    </w:p>
  </w:footnote>
  <w:footnote w:id="6">
    <w:p w14:paraId="198902AF" w14:textId="59A32CB4" w:rsidR="00FC67CF" w:rsidRDefault="00FC67CF">
      <w:pPr>
        <w:pStyle w:val="FootnoteText"/>
      </w:pPr>
      <w:r>
        <w:rPr>
          <w:rStyle w:val="FootnoteReference"/>
        </w:rPr>
        <w:footnoteRef/>
      </w:r>
      <w:r>
        <w:t xml:space="preserve"> The </w:t>
      </w:r>
      <w:r>
        <w:rPr>
          <w:lang w:val="en-US"/>
        </w:rPr>
        <w:t>tone measures calculated simply using word counts could have measurement error. Loughran and McDonald (2011) propose a term weighting scheme that assigns a weight to each word depending upon the frequency of that word in the same document and the commonality of that word in the entire corpus. They argue that this scheme can reduce the noise in the measurement of tone and recommend it for creating word counts.</w:t>
      </w:r>
      <w:r w:rsidRPr="00FC67CF">
        <w:rPr>
          <w:lang w:val="en-US"/>
        </w:rPr>
        <w:t xml:space="preserve"> </w:t>
      </w:r>
      <w:r>
        <w:rPr>
          <w:lang w:val="en-US"/>
        </w:rPr>
        <w:t>In</w:t>
      </w:r>
      <w:r>
        <w:rPr>
          <w:lang w:val="en-US"/>
        </w:rPr>
        <w:t xml:space="preserve"> a robustness test, we calculate tone of disclosures using the term weighting scheme from Loughran and McDonald (2011) and find similar result</w:t>
      </w:r>
      <w:r>
        <w:rPr>
          <w:lang w:val="en-US"/>
        </w:rPr>
        <w:t>s as those reported in the tables.</w:t>
      </w:r>
      <w:bookmarkStart w:id="0" w:name="_GoBack"/>
      <w:bookmarkEnd w:id="0"/>
    </w:p>
  </w:footnote>
  <w:footnote w:id="7">
    <w:p w14:paraId="711B8848" w14:textId="62CD3BC6" w:rsidR="002F6BB0" w:rsidRDefault="002F6BB0" w:rsidP="000023E0">
      <w:pPr>
        <w:pStyle w:val="FootnoteText"/>
      </w:pPr>
      <w:r>
        <w:rPr>
          <w:rStyle w:val="FootnoteReference"/>
        </w:rPr>
        <w:footnoteRef/>
      </w:r>
      <w:r>
        <w:t xml:space="preserve"> The summary of the report is available here: </w:t>
      </w:r>
      <w:r w:rsidRPr="000023E0">
        <w:t>https://www.broadridge.com/press-release/2013/broadridge-and-pwc-announce-new-data-on-2013-proxy-voting-trends</w:t>
      </w:r>
      <w:r>
        <w:t xml:space="preserve">. </w:t>
      </w:r>
    </w:p>
  </w:footnote>
  <w:footnote w:id="8">
    <w:p w14:paraId="4FCBD3F6" w14:textId="32DD094C" w:rsidR="004C5107" w:rsidRDefault="004C5107">
      <w:pPr>
        <w:pStyle w:val="FootnoteText"/>
      </w:pPr>
      <w:r>
        <w:rPr>
          <w:rStyle w:val="FootnoteReference"/>
        </w:rPr>
        <w:footnoteRef/>
      </w:r>
      <w:r>
        <w:t xml:space="preserve"> The insignificant coefficients of the Fog index in Tables 3 and 4 could be driven by the measurement error. In a robustness test, we use alternative measures of readability, including </w:t>
      </w:r>
      <w:r>
        <w:t>Smog Index and Flesch Reading Score</w:t>
      </w:r>
      <w:r>
        <w:t>, to redo the tests. However, the coefficients remain insignificant for both alternative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BB94" w14:textId="77777777" w:rsidR="002F6BB0" w:rsidRDefault="002F6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4397" w14:textId="77777777" w:rsidR="002F6BB0" w:rsidRDefault="002F6B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5707" w14:textId="77777777" w:rsidR="002F6BB0" w:rsidRDefault="002F6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EC"/>
    <w:rsid w:val="00001A6A"/>
    <w:rsid w:val="000023E0"/>
    <w:rsid w:val="0000692B"/>
    <w:rsid w:val="00011261"/>
    <w:rsid w:val="0001210E"/>
    <w:rsid w:val="00031FC7"/>
    <w:rsid w:val="00043DF5"/>
    <w:rsid w:val="00050169"/>
    <w:rsid w:val="00050AFA"/>
    <w:rsid w:val="000529FE"/>
    <w:rsid w:val="00053B7C"/>
    <w:rsid w:val="000545D0"/>
    <w:rsid w:val="00054D27"/>
    <w:rsid w:val="00076A5C"/>
    <w:rsid w:val="0007772F"/>
    <w:rsid w:val="000A09F0"/>
    <w:rsid w:val="000A495A"/>
    <w:rsid w:val="000B3014"/>
    <w:rsid w:val="000B34D1"/>
    <w:rsid w:val="000C6DB5"/>
    <w:rsid w:val="000C753E"/>
    <w:rsid w:val="000D1F73"/>
    <w:rsid w:val="000E2BF0"/>
    <w:rsid w:val="000E5367"/>
    <w:rsid w:val="000F39F7"/>
    <w:rsid w:val="0010256D"/>
    <w:rsid w:val="001134C9"/>
    <w:rsid w:val="00127E79"/>
    <w:rsid w:val="001431B6"/>
    <w:rsid w:val="00161792"/>
    <w:rsid w:val="0017073E"/>
    <w:rsid w:val="00171578"/>
    <w:rsid w:val="00175786"/>
    <w:rsid w:val="00177454"/>
    <w:rsid w:val="00180604"/>
    <w:rsid w:val="001866D4"/>
    <w:rsid w:val="001B48DC"/>
    <w:rsid w:val="001B5728"/>
    <w:rsid w:val="001C5536"/>
    <w:rsid w:val="001C6500"/>
    <w:rsid w:val="001D1885"/>
    <w:rsid w:val="001D704F"/>
    <w:rsid w:val="001E0CFF"/>
    <w:rsid w:val="001E0F6F"/>
    <w:rsid w:val="001E39F0"/>
    <w:rsid w:val="001E5216"/>
    <w:rsid w:val="001E6E34"/>
    <w:rsid w:val="001E7298"/>
    <w:rsid w:val="00207E18"/>
    <w:rsid w:val="00211443"/>
    <w:rsid w:val="00220E41"/>
    <w:rsid w:val="00223924"/>
    <w:rsid w:val="002267AE"/>
    <w:rsid w:val="0022680D"/>
    <w:rsid w:val="00227E42"/>
    <w:rsid w:val="00235988"/>
    <w:rsid w:val="0024265E"/>
    <w:rsid w:val="002453B0"/>
    <w:rsid w:val="0024653C"/>
    <w:rsid w:val="00247501"/>
    <w:rsid w:val="00274E14"/>
    <w:rsid w:val="0029669E"/>
    <w:rsid w:val="002A4412"/>
    <w:rsid w:val="002B3278"/>
    <w:rsid w:val="002B523D"/>
    <w:rsid w:val="002C62AB"/>
    <w:rsid w:val="002D039E"/>
    <w:rsid w:val="002E51FA"/>
    <w:rsid w:val="002E7D77"/>
    <w:rsid w:val="002F2026"/>
    <w:rsid w:val="002F6BB0"/>
    <w:rsid w:val="003065AB"/>
    <w:rsid w:val="00324357"/>
    <w:rsid w:val="00324537"/>
    <w:rsid w:val="0032740F"/>
    <w:rsid w:val="00333740"/>
    <w:rsid w:val="00351567"/>
    <w:rsid w:val="00354E1E"/>
    <w:rsid w:val="0036149E"/>
    <w:rsid w:val="0036162C"/>
    <w:rsid w:val="00365CE2"/>
    <w:rsid w:val="00372E2F"/>
    <w:rsid w:val="00386C8B"/>
    <w:rsid w:val="003A0591"/>
    <w:rsid w:val="003A2CE6"/>
    <w:rsid w:val="003A54E7"/>
    <w:rsid w:val="003A5DA9"/>
    <w:rsid w:val="003B7269"/>
    <w:rsid w:val="003C0D26"/>
    <w:rsid w:val="003D0D1F"/>
    <w:rsid w:val="003D0D82"/>
    <w:rsid w:val="003D1B82"/>
    <w:rsid w:val="003D3D57"/>
    <w:rsid w:val="003D71EB"/>
    <w:rsid w:val="003E342E"/>
    <w:rsid w:val="003E642D"/>
    <w:rsid w:val="003F08CC"/>
    <w:rsid w:val="003F5761"/>
    <w:rsid w:val="0040193F"/>
    <w:rsid w:val="0040447C"/>
    <w:rsid w:val="00405C5A"/>
    <w:rsid w:val="004154E4"/>
    <w:rsid w:val="00415847"/>
    <w:rsid w:val="00420F41"/>
    <w:rsid w:val="00423D8B"/>
    <w:rsid w:val="00426544"/>
    <w:rsid w:val="00427611"/>
    <w:rsid w:val="00433421"/>
    <w:rsid w:val="004362A6"/>
    <w:rsid w:val="004A434F"/>
    <w:rsid w:val="004A60A0"/>
    <w:rsid w:val="004B4CD5"/>
    <w:rsid w:val="004C5107"/>
    <w:rsid w:val="004E1C3E"/>
    <w:rsid w:val="004E5A7D"/>
    <w:rsid w:val="004E6B5D"/>
    <w:rsid w:val="005020BB"/>
    <w:rsid w:val="00502D42"/>
    <w:rsid w:val="00513916"/>
    <w:rsid w:val="00523126"/>
    <w:rsid w:val="00527B87"/>
    <w:rsid w:val="00527EDA"/>
    <w:rsid w:val="00530632"/>
    <w:rsid w:val="00530C1B"/>
    <w:rsid w:val="005314AE"/>
    <w:rsid w:val="00533160"/>
    <w:rsid w:val="005378B3"/>
    <w:rsid w:val="005666B0"/>
    <w:rsid w:val="00572CE8"/>
    <w:rsid w:val="005739C7"/>
    <w:rsid w:val="0057453C"/>
    <w:rsid w:val="005805C0"/>
    <w:rsid w:val="00583B95"/>
    <w:rsid w:val="00585223"/>
    <w:rsid w:val="005940FD"/>
    <w:rsid w:val="00597782"/>
    <w:rsid w:val="005A0D85"/>
    <w:rsid w:val="005A61A0"/>
    <w:rsid w:val="005B5B23"/>
    <w:rsid w:val="005B670F"/>
    <w:rsid w:val="005C6515"/>
    <w:rsid w:val="005E20DB"/>
    <w:rsid w:val="005E23D1"/>
    <w:rsid w:val="005E51A7"/>
    <w:rsid w:val="005F5F23"/>
    <w:rsid w:val="00606294"/>
    <w:rsid w:val="00611E35"/>
    <w:rsid w:val="00615980"/>
    <w:rsid w:val="006355C3"/>
    <w:rsid w:val="00642590"/>
    <w:rsid w:val="0065759C"/>
    <w:rsid w:val="00666082"/>
    <w:rsid w:val="00670A99"/>
    <w:rsid w:val="00671A83"/>
    <w:rsid w:val="00681440"/>
    <w:rsid w:val="006852E9"/>
    <w:rsid w:val="00692FC2"/>
    <w:rsid w:val="00693DAE"/>
    <w:rsid w:val="006A3F47"/>
    <w:rsid w:val="006A5BF2"/>
    <w:rsid w:val="006B3C7D"/>
    <w:rsid w:val="006C7545"/>
    <w:rsid w:val="006D618C"/>
    <w:rsid w:val="006F3CB8"/>
    <w:rsid w:val="006F3D14"/>
    <w:rsid w:val="00700AF1"/>
    <w:rsid w:val="007152DA"/>
    <w:rsid w:val="00733FD2"/>
    <w:rsid w:val="007354F1"/>
    <w:rsid w:val="007458B3"/>
    <w:rsid w:val="00751813"/>
    <w:rsid w:val="00770960"/>
    <w:rsid w:val="007728BD"/>
    <w:rsid w:val="00776633"/>
    <w:rsid w:val="00781503"/>
    <w:rsid w:val="007866C8"/>
    <w:rsid w:val="007C0751"/>
    <w:rsid w:val="007C0DEB"/>
    <w:rsid w:val="007C418B"/>
    <w:rsid w:val="007D5FA6"/>
    <w:rsid w:val="007E1D22"/>
    <w:rsid w:val="007E5986"/>
    <w:rsid w:val="007E7202"/>
    <w:rsid w:val="007E7E73"/>
    <w:rsid w:val="008003DF"/>
    <w:rsid w:val="008038F9"/>
    <w:rsid w:val="0080492F"/>
    <w:rsid w:val="00813FDA"/>
    <w:rsid w:val="00824ECE"/>
    <w:rsid w:val="00826ED6"/>
    <w:rsid w:val="0084490D"/>
    <w:rsid w:val="00866F25"/>
    <w:rsid w:val="0087194D"/>
    <w:rsid w:val="00877879"/>
    <w:rsid w:val="008A749D"/>
    <w:rsid w:val="008B4007"/>
    <w:rsid w:val="008B409D"/>
    <w:rsid w:val="008D3739"/>
    <w:rsid w:val="008D7980"/>
    <w:rsid w:val="008E7B40"/>
    <w:rsid w:val="008F0C1A"/>
    <w:rsid w:val="008F4CEC"/>
    <w:rsid w:val="00903BBB"/>
    <w:rsid w:val="0090461B"/>
    <w:rsid w:val="0091155B"/>
    <w:rsid w:val="009132D9"/>
    <w:rsid w:val="00915D12"/>
    <w:rsid w:val="00921B29"/>
    <w:rsid w:val="00926511"/>
    <w:rsid w:val="00931AF6"/>
    <w:rsid w:val="00931CB7"/>
    <w:rsid w:val="0094448F"/>
    <w:rsid w:val="009444F9"/>
    <w:rsid w:val="009572A1"/>
    <w:rsid w:val="009677E6"/>
    <w:rsid w:val="009713CF"/>
    <w:rsid w:val="00972019"/>
    <w:rsid w:val="009851EB"/>
    <w:rsid w:val="009900C3"/>
    <w:rsid w:val="00997219"/>
    <w:rsid w:val="009A6885"/>
    <w:rsid w:val="009C2980"/>
    <w:rsid w:val="009C38A4"/>
    <w:rsid w:val="009E788A"/>
    <w:rsid w:val="00A06835"/>
    <w:rsid w:val="00A17CED"/>
    <w:rsid w:val="00A42827"/>
    <w:rsid w:val="00A53E41"/>
    <w:rsid w:val="00A57BC1"/>
    <w:rsid w:val="00A6198F"/>
    <w:rsid w:val="00A75C8A"/>
    <w:rsid w:val="00A76852"/>
    <w:rsid w:val="00A802DE"/>
    <w:rsid w:val="00A90888"/>
    <w:rsid w:val="00AA5492"/>
    <w:rsid w:val="00AA565E"/>
    <w:rsid w:val="00AB2EA5"/>
    <w:rsid w:val="00AB5C6C"/>
    <w:rsid w:val="00AC5663"/>
    <w:rsid w:val="00AE55CB"/>
    <w:rsid w:val="00B0212D"/>
    <w:rsid w:val="00B030B1"/>
    <w:rsid w:val="00B0563C"/>
    <w:rsid w:val="00B151C3"/>
    <w:rsid w:val="00B41E2A"/>
    <w:rsid w:val="00B512B8"/>
    <w:rsid w:val="00B537BB"/>
    <w:rsid w:val="00B71540"/>
    <w:rsid w:val="00B7620C"/>
    <w:rsid w:val="00B776A4"/>
    <w:rsid w:val="00B81AE5"/>
    <w:rsid w:val="00B847A8"/>
    <w:rsid w:val="00B85A8E"/>
    <w:rsid w:val="00B94B8D"/>
    <w:rsid w:val="00BA37B6"/>
    <w:rsid w:val="00BC6FE4"/>
    <w:rsid w:val="00BC7A8E"/>
    <w:rsid w:val="00C019EF"/>
    <w:rsid w:val="00C03E0D"/>
    <w:rsid w:val="00C07709"/>
    <w:rsid w:val="00C25C57"/>
    <w:rsid w:val="00C25E5A"/>
    <w:rsid w:val="00C36936"/>
    <w:rsid w:val="00C41E53"/>
    <w:rsid w:val="00C46555"/>
    <w:rsid w:val="00C50BF1"/>
    <w:rsid w:val="00C5312B"/>
    <w:rsid w:val="00C61EDC"/>
    <w:rsid w:val="00C65F58"/>
    <w:rsid w:val="00C66484"/>
    <w:rsid w:val="00C8087B"/>
    <w:rsid w:val="00C814F7"/>
    <w:rsid w:val="00C95BCB"/>
    <w:rsid w:val="00C95E3E"/>
    <w:rsid w:val="00C968C9"/>
    <w:rsid w:val="00CA27FD"/>
    <w:rsid w:val="00CC697B"/>
    <w:rsid w:val="00CD09B7"/>
    <w:rsid w:val="00CE1796"/>
    <w:rsid w:val="00CF2D26"/>
    <w:rsid w:val="00D021A0"/>
    <w:rsid w:val="00D03132"/>
    <w:rsid w:val="00D04BAF"/>
    <w:rsid w:val="00D06DB0"/>
    <w:rsid w:val="00D07C1E"/>
    <w:rsid w:val="00D13015"/>
    <w:rsid w:val="00D138B3"/>
    <w:rsid w:val="00D246B4"/>
    <w:rsid w:val="00D32159"/>
    <w:rsid w:val="00D32E7B"/>
    <w:rsid w:val="00D33AD1"/>
    <w:rsid w:val="00D47B13"/>
    <w:rsid w:val="00D52B29"/>
    <w:rsid w:val="00D6151A"/>
    <w:rsid w:val="00D745A4"/>
    <w:rsid w:val="00D7696C"/>
    <w:rsid w:val="00D7722D"/>
    <w:rsid w:val="00D85B48"/>
    <w:rsid w:val="00D91A72"/>
    <w:rsid w:val="00DA0EF9"/>
    <w:rsid w:val="00DA10A8"/>
    <w:rsid w:val="00DA4D67"/>
    <w:rsid w:val="00DB0A89"/>
    <w:rsid w:val="00DB4E1A"/>
    <w:rsid w:val="00DD246A"/>
    <w:rsid w:val="00DE2869"/>
    <w:rsid w:val="00DE3C8E"/>
    <w:rsid w:val="00DE6D40"/>
    <w:rsid w:val="00E01F7B"/>
    <w:rsid w:val="00E03425"/>
    <w:rsid w:val="00E1206E"/>
    <w:rsid w:val="00E12AD0"/>
    <w:rsid w:val="00E17D96"/>
    <w:rsid w:val="00E3085A"/>
    <w:rsid w:val="00E3638B"/>
    <w:rsid w:val="00E45D0E"/>
    <w:rsid w:val="00E555DB"/>
    <w:rsid w:val="00E57D85"/>
    <w:rsid w:val="00E60E8A"/>
    <w:rsid w:val="00E7586D"/>
    <w:rsid w:val="00E838E9"/>
    <w:rsid w:val="00EA10C9"/>
    <w:rsid w:val="00EA417E"/>
    <w:rsid w:val="00EB4477"/>
    <w:rsid w:val="00EC16BD"/>
    <w:rsid w:val="00ED061F"/>
    <w:rsid w:val="00ED4F69"/>
    <w:rsid w:val="00EE51EB"/>
    <w:rsid w:val="00EE64B2"/>
    <w:rsid w:val="00EE6C90"/>
    <w:rsid w:val="00EF3AA0"/>
    <w:rsid w:val="00EF3EE4"/>
    <w:rsid w:val="00EF62D9"/>
    <w:rsid w:val="00F012A5"/>
    <w:rsid w:val="00F060D3"/>
    <w:rsid w:val="00F07A08"/>
    <w:rsid w:val="00F11AA3"/>
    <w:rsid w:val="00F12C99"/>
    <w:rsid w:val="00F15498"/>
    <w:rsid w:val="00F319EF"/>
    <w:rsid w:val="00F46C82"/>
    <w:rsid w:val="00F504BD"/>
    <w:rsid w:val="00F57558"/>
    <w:rsid w:val="00F57960"/>
    <w:rsid w:val="00F76DD9"/>
    <w:rsid w:val="00FA3D57"/>
    <w:rsid w:val="00FC18CF"/>
    <w:rsid w:val="00FC25C0"/>
    <w:rsid w:val="00FC2D92"/>
    <w:rsid w:val="00FC5425"/>
    <w:rsid w:val="00FC67CF"/>
    <w:rsid w:val="00FD1019"/>
    <w:rsid w:val="00FD1307"/>
    <w:rsid w:val="00FD7816"/>
    <w:rsid w:val="00FE02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D3D5B"/>
  <w15:chartTrackingRefBased/>
  <w15:docId w15:val="{183DD6EE-1E2B-408B-B62F-B2C12DD8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0C9"/>
    <w:pPr>
      <w:jc w:val="left"/>
    </w:pPr>
  </w:style>
  <w:style w:type="paragraph" w:styleId="Heading1">
    <w:name w:val="heading 1"/>
    <w:basedOn w:val="Normal"/>
    <w:next w:val="Normal"/>
    <w:link w:val="Heading1Char"/>
    <w:uiPriority w:val="9"/>
    <w:qFormat/>
    <w:rsid w:val="00EA10C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A10C9"/>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A10C9"/>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A10C9"/>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A10C9"/>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A10C9"/>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A10C9"/>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EA10C9"/>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EA10C9"/>
    <w:pPr>
      <w:keepNext/>
      <w:keepLines/>
      <w:spacing w:before="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0C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A10C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A10C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A10C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A10C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A10C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A10C9"/>
    <w:rPr>
      <w:i/>
      <w:iCs/>
    </w:rPr>
  </w:style>
  <w:style w:type="character" w:customStyle="1" w:styleId="Heading8Char">
    <w:name w:val="Heading 8 Char"/>
    <w:basedOn w:val="DefaultParagraphFont"/>
    <w:link w:val="Heading8"/>
    <w:uiPriority w:val="9"/>
    <w:semiHidden/>
    <w:rsid w:val="00EA10C9"/>
    <w:rPr>
      <w:b/>
      <w:bCs/>
    </w:rPr>
  </w:style>
  <w:style w:type="character" w:customStyle="1" w:styleId="Heading9Char">
    <w:name w:val="Heading 9 Char"/>
    <w:basedOn w:val="DefaultParagraphFont"/>
    <w:link w:val="Heading9"/>
    <w:uiPriority w:val="9"/>
    <w:semiHidden/>
    <w:rsid w:val="00EA10C9"/>
    <w:rPr>
      <w:i/>
      <w:iCs/>
    </w:rPr>
  </w:style>
  <w:style w:type="paragraph" w:styleId="Caption">
    <w:name w:val="caption"/>
    <w:basedOn w:val="Normal"/>
    <w:next w:val="Normal"/>
    <w:uiPriority w:val="35"/>
    <w:semiHidden/>
    <w:unhideWhenUsed/>
    <w:qFormat/>
    <w:rsid w:val="00EA10C9"/>
    <w:rPr>
      <w:b/>
      <w:bCs/>
      <w:sz w:val="18"/>
      <w:szCs w:val="18"/>
    </w:rPr>
  </w:style>
  <w:style w:type="paragraph" w:styleId="Title">
    <w:name w:val="Title"/>
    <w:basedOn w:val="Normal"/>
    <w:next w:val="Normal"/>
    <w:link w:val="TitleChar"/>
    <w:uiPriority w:val="10"/>
    <w:qFormat/>
    <w:rsid w:val="00EA10C9"/>
    <w:pPr>
      <w:contextualSpacing/>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A10C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A10C9"/>
    <w:pPr>
      <w:numPr>
        <w:ilvl w:val="1"/>
      </w:numPr>
      <w:spacing w:after="240"/>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A10C9"/>
    <w:rPr>
      <w:rFonts w:asciiTheme="majorHAnsi" w:eastAsiaTheme="majorEastAsia" w:hAnsiTheme="majorHAnsi" w:cstheme="majorBidi"/>
      <w:sz w:val="24"/>
      <w:szCs w:val="24"/>
    </w:rPr>
  </w:style>
  <w:style w:type="character" w:styleId="Strong">
    <w:name w:val="Strong"/>
    <w:basedOn w:val="DefaultParagraphFont"/>
    <w:uiPriority w:val="22"/>
    <w:qFormat/>
    <w:rsid w:val="00EA10C9"/>
    <w:rPr>
      <w:b/>
      <w:bCs/>
      <w:color w:val="auto"/>
    </w:rPr>
  </w:style>
  <w:style w:type="character" w:styleId="Emphasis">
    <w:name w:val="Emphasis"/>
    <w:basedOn w:val="DefaultParagraphFont"/>
    <w:uiPriority w:val="20"/>
    <w:qFormat/>
    <w:rsid w:val="00EA10C9"/>
    <w:rPr>
      <w:i/>
      <w:iCs/>
      <w:color w:val="auto"/>
    </w:rPr>
  </w:style>
  <w:style w:type="paragraph" w:styleId="NoSpacing">
    <w:name w:val="No Spacing"/>
    <w:uiPriority w:val="1"/>
    <w:qFormat/>
    <w:rsid w:val="00EA10C9"/>
  </w:style>
  <w:style w:type="paragraph" w:styleId="Quote">
    <w:name w:val="Quote"/>
    <w:basedOn w:val="Normal"/>
    <w:next w:val="Normal"/>
    <w:link w:val="QuoteChar"/>
    <w:uiPriority w:val="29"/>
    <w:qFormat/>
    <w:rsid w:val="00EA10C9"/>
    <w:pPr>
      <w:spacing w:before="200" w:line="264" w:lineRule="auto"/>
      <w:ind w:left="864" w:right="864"/>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A10C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A10C9"/>
    <w:pPr>
      <w:spacing w:before="100" w:beforeAutospacing="1" w:after="240"/>
      <w:ind w:left="936" w:right="936"/>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A10C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A10C9"/>
    <w:rPr>
      <w:i/>
      <w:iCs/>
      <w:color w:val="auto"/>
    </w:rPr>
  </w:style>
  <w:style w:type="character" w:styleId="IntenseEmphasis">
    <w:name w:val="Intense Emphasis"/>
    <w:basedOn w:val="DefaultParagraphFont"/>
    <w:uiPriority w:val="21"/>
    <w:qFormat/>
    <w:rsid w:val="00EA10C9"/>
    <w:rPr>
      <w:b/>
      <w:bCs/>
      <w:i/>
      <w:iCs/>
      <w:color w:val="auto"/>
    </w:rPr>
  </w:style>
  <w:style w:type="character" w:styleId="SubtleReference">
    <w:name w:val="Subtle Reference"/>
    <w:basedOn w:val="DefaultParagraphFont"/>
    <w:uiPriority w:val="31"/>
    <w:qFormat/>
    <w:rsid w:val="00EA10C9"/>
    <w:rPr>
      <w:smallCaps/>
      <w:color w:val="auto"/>
      <w:u w:val="single" w:color="7F7F7F" w:themeColor="text1" w:themeTint="80"/>
    </w:rPr>
  </w:style>
  <w:style w:type="character" w:styleId="IntenseReference">
    <w:name w:val="Intense Reference"/>
    <w:basedOn w:val="DefaultParagraphFont"/>
    <w:uiPriority w:val="32"/>
    <w:qFormat/>
    <w:rsid w:val="00EA10C9"/>
    <w:rPr>
      <w:b/>
      <w:bCs/>
      <w:smallCaps/>
      <w:color w:val="auto"/>
      <w:u w:val="single"/>
    </w:rPr>
  </w:style>
  <w:style w:type="character" w:styleId="BookTitle">
    <w:name w:val="Book Title"/>
    <w:basedOn w:val="DefaultParagraphFont"/>
    <w:uiPriority w:val="33"/>
    <w:qFormat/>
    <w:rsid w:val="00EA10C9"/>
    <w:rPr>
      <w:b/>
      <w:bCs/>
      <w:smallCaps/>
      <w:color w:val="auto"/>
    </w:rPr>
  </w:style>
  <w:style w:type="paragraph" w:styleId="TOCHeading">
    <w:name w:val="TOC Heading"/>
    <w:basedOn w:val="Heading1"/>
    <w:next w:val="Normal"/>
    <w:uiPriority w:val="39"/>
    <w:semiHidden/>
    <w:unhideWhenUsed/>
    <w:qFormat/>
    <w:rsid w:val="00EA10C9"/>
    <w:pPr>
      <w:outlineLvl w:val="9"/>
    </w:pPr>
  </w:style>
  <w:style w:type="paragraph" w:styleId="FootnoteText">
    <w:name w:val="footnote text"/>
    <w:basedOn w:val="Normal"/>
    <w:link w:val="FootnoteTextChar"/>
    <w:autoRedefine/>
    <w:uiPriority w:val="99"/>
    <w:unhideWhenUsed/>
    <w:rsid w:val="001B48DC"/>
    <w:pPr>
      <w:jc w:val="both"/>
    </w:pPr>
    <w:rPr>
      <w:rFonts w:ascii="Times New Roman" w:hAnsi="Times New Roman"/>
      <w:sz w:val="20"/>
      <w:szCs w:val="20"/>
    </w:rPr>
  </w:style>
  <w:style w:type="character" w:customStyle="1" w:styleId="FootnoteTextChar">
    <w:name w:val="Footnote Text Char"/>
    <w:basedOn w:val="DefaultParagraphFont"/>
    <w:link w:val="FootnoteText"/>
    <w:uiPriority w:val="99"/>
    <w:rsid w:val="001B48DC"/>
    <w:rPr>
      <w:rFonts w:ascii="Times New Roman" w:hAnsi="Times New Roman"/>
      <w:sz w:val="20"/>
      <w:szCs w:val="20"/>
    </w:rPr>
  </w:style>
  <w:style w:type="paragraph" w:styleId="Date">
    <w:name w:val="Date"/>
    <w:basedOn w:val="Normal"/>
    <w:next w:val="Normal"/>
    <w:link w:val="DateChar"/>
    <w:uiPriority w:val="99"/>
    <w:semiHidden/>
    <w:unhideWhenUsed/>
    <w:rsid w:val="008F4CEC"/>
  </w:style>
  <w:style w:type="character" w:customStyle="1" w:styleId="DateChar">
    <w:name w:val="Date Char"/>
    <w:basedOn w:val="DefaultParagraphFont"/>
    <w:link w:val="Date"/>
    <w:uiPriority w:val="99"/>
    <w:semiHidden/>
    <w:rsid w:val="008F4CEC"/>
  </w:style>
  <w:style w:type="character" w:styleId="FootnoteReference">
    <w:name w:val="footnote reference"/>
    <w:basedOn w:val="DefaultParagraphFont"/>
    <w:uiPriority w:val="99"/>
    <w:semiHidden/>
    <w:unhideWhenUsed/>
    <w:rsid w:val="00866F25"/>
    <w:rPr>
      <w:vertAlign w:val="superscript"/>
    </w:rPr>
  </w:style>
  <w:style w:type="paragraph" w:styleId="Header">
    <w:name w:val="header"/>
    <w:basedOn w:val="Normal"/>
    <w:link w:val="HeaderChar"/>
    <w:uiPriority w:val="99"/>
    <w:unhideWhenUsed/>
    <w:rsid w:val="000C6DB5"/>
    <w:pPr>
      <w:tabs>
        <w:tab w:val="center" w:pos="4153"/>
        <w:tab w:val="right" w:pos="8306"/>
      </w:tabs>
    </w:pPr>
  </w:style>
  <w:style w:type="character" w:customStyle="1" w:styleId="HeaderChar">
    <w:name w:val="Header Char"/>
    <w:basedOn w:val="DefaultParagraphFont"/>
    <w:link w:val="Header"/>
    <w:uiPriority w:val="99"/>
    <w:rsid w:val="000C6DB5"/>
  </w:style>
  <w:style w:type="paragraph" w:styleId="Footer">
    <w:name w:val="footer"/>
    <w:basedOn w:val="Normal"/>
    <w:link w:val="FooterChar"/>
    <w:uiPriority w:val="99"/>
    <w:unhideWhenUsed/>
    <w:rsid w:val="000C6DB5"/>
    <w:pPr>
      <w:tabs>
        <w:tab w:val="center" w:pos="4153"/>
        <w:tab w:val="right" w:pos="8306"/>
      </w:tabs>
    </w:pPr>
  </w:style>
  <w:style w:type="character" w:customStyle="1" w:styleId="FooterChar">
    <w:name w:val="Footer Char"/>
    <w:basedOn w:val="DefaultParagraphFont"/>
    <w:link w:val="Footer"/>
    <w:uiPriority w:val="99"/>
    <w:rsid w:val="000C6DB5"/>
  </w:style>
  <w:style w:type="paragraph" w:customStyle="1" w:styleId="Default">
    <w:name w:val="Default"/>
    <w:rsid w:val="00054D27"/>
    <w:pPr>
      <w:autoSpaceDE w:val="0"/>
      <w:autoSpaceDN w:val="0"/>
      <w:adjustRightInd w:val="0"/>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362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A6"/>
    <w:rPr>
      <w:rFonts w:ascii="Segoe UI" w:hAnsi="Segoe UI" w:cs="Segoe UI"/>
      <w:sz w:val="18"/>
      <w:szCs w:val="18"/>
    </w:rPr>
  </w:style>
  <w:style w:type="character" w:styleId="HTMLCite">
    <w:name w:val="HTML Cite"/>
    <w:basedOn w:val="DefaultParagraphFont"/>
    <w:uiPriority w:val="99"/>
    <w:semiHidden/>
    <w:unhideWhenUsed/>
    <w:rsid w:val="0065759C"/>
    <w:rPr>
      <w:i/>
      <w:iCs/>
    </w:rPr>
  </w:style>
  <w:style w:type="character" w:customStyle="1" w:styleId="author">
    <w:name w:val="author"/>
    <w:basedOn w:val="DefaultParagraphFont"/>
    <w:rsid w:val="0065759C"/>
  </w:style>
  <w:style w:type="character" w:customStyle="1" w:styleId="articletitle">
    <w:name w:val="articletitle"/>
    <w:basedOn w:val="DefaultParagraphFont"/>
    <w:rsid w:val="0065759C"/>
  </w:style>
  <w:style w:type="character" w:customStyle="1" w:styleId="journaltitle">
    <w:name w:val="journaltitle"/>
    <w:basedOn w:val="DefaultParagraphFont"/>
    <w:rsid w:val="0065759C"/>
  </w:style>
  <w:style w:type="character" w:customStyle="1" w:styleId="vol">
    <w:name w:val="vol"/>
    <w:basedOn w:val="DefaultParagraphFont"/>
    <w:rsid w:val="0065759C"/>
  </w:style>
  <w:style w:type="character" w:customStyle="1" w:styleId="pubyear">
    <w:name w:val="pubyear"/>
    <w:basedOn w:val="DefaultParagraphFont"/>
    <w:rsid w:val="0065759C"/>
  </w:style>
  <w:style w:type="character" w:customStyle="1" w:styleId="pagefirst">
    <w:name w:val="pagefirst"/>
    <w:basedOn w:val="DefaultParagraphFont"/>
    <w:rsid w:val="0065759C"/>
  </w:style>
  <w:style w:type="character" w:customStyle="1" w:styleId="pagelast">
    <w:name w:val="pagelast"/>
    <w:basedOn w:val="DefaultParagraphFont"/>
    <w:rsid w:val="0065759C"/>
  </w:style>
  <w:style w:type="character" w:styleId="Hyperlink">
    <w:name w:val="Hyperlink"/>
    <w:basedOn w:val="DefaultParagraphFont"/>
    <w:uiPriority w:val="99"/>
    <w:unhideWhenUsed/>
    <w:rsid w:val="002F6BB0"/>
    <w:rPr>
      <w:color w:val="0563C1" w:themeColor="hyperlink"/>
      <w:u w:val="single"/>
    </w:rPr>
  </w:style>
  <w:style w:type="character" w:styleId="UnresolvedMention">
    <w:name w:val="Unresolved Mention"/>
    <w:basedOn w:val="DefaultParagraphFont"/>
    <w:uiPriority w:val="99"/>
    <w:semiHidden/>
    <w:unhideWhenUsed/>
    <w:rsid w:val="002F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319">
      <w:bodyDiv w:val="1"/>
      <w:marLeft w:val="0"/>
      <w:marRight w:val="0"/>
      <w:marTop w:val="0"/>
      <w:marBottom w:val="0"/>
      <w:divBdr>
        <w:top w:val="none" w:sz="0" w:space="0" w:color="auto"/>
        <w:left w:val="none" w:sz="0" w:space="0" w:color="auto"/>
        <w:bottom w:val="none" w:sz="0" w:space="0" w:color="auto"/>
        <w:right w:val="none" w:sz="0" w:space="0" w:color="auto"/>
      </w:divBdr>
    </w:div>
    <w:div w:id="700201924">
      <w:bodyDiv w:val="1"/>
      <w:marLeft w:val="0"/>
      <w:marRight w:val="0"/>
      <w:marTop w:val="0"/>
      <w:marBottom w:val="0"/>
      <w:divBdr>
        <w:top w:val="none" w:sz="0" w:space="0" w:color="auto"/>
        <w:left w:val="none" w:sz="0" w:space="0" w:color="auto"/>
        <w:bottom w:val="none" w:sz="0" w:space="0" w:color="auto"/>
        <w:right w:val="none" w:sz="0" w:space="0" w:color="auto"/>
      </w:divBdr>
    </w:div>
    <w:div w:id="762185207">
      <w:bodyDiv w:val="1"/>
      <w:marLeft w:val="0"/>
      <w:marRight w:val="0"/>
      <w:marTop w:val="0"/>
      <w:marBottom w:val="0"/>
      <w:divBdr>
        <w:top w:val="none" w:sz="0" w:space="0" w:color="auto"/>
        <w:left w:val="none" w:sz="0" w:space="0" w:color="auto"/>
        <w:bottom w:val="none" w:sz="0" w:space="0" w:color="auto"/>
        <w:right w:val="none" w:sz="0" w:space="0" w:color="auto"/>
      </w:divBdr>
    </w:div>
    <w:div w:id="865489270">
      <w:bodyDiv w:val="1"/>
      <w:marLeft w:val="0"/>
      <w:marRight w:val="0"/>
      <w:marTop w:val="0"/>
      <w:marBottom w:val="0"/>
      <w:divBdr>
        <w:top w:val="none" w:sz="0" w:space="0" w:color="auto"/>
        <w:left w:val="none" w:sz="0" w:space="0" w:color="auto"/>
        <w:bottom w:val="none" w:sz="0" w:space="0" w:color="auto"/>
        <w:right w:val="none" w:sz="0" w:space="0" w:color="auto"/>
      </w:divBdr>
    </w:div>
    <w:div w:id="912929483">
      <w:bodyDiv w:val="1"/>
      <w:marLeft w:val="0"/>
      <w:marRight w:val="0"/>
      <w:marTop w:val="0"/>
      <w:marBottom w:val="0"/>
      <w:divBdr>
        <w:top w:val="none" w:sz="0" w:space="0" w:color="auto"/>
        <w:left w:val="none" w:sz="0" w:space="0" w:color="auto"/>
        <w:bottom w:val="none" w:sz="0" w:space="0" w:color="auto"/>
        <w:right w:val="none" w:sz="0" w:space="0" w:color="auto"/>
      </w:divBdr>
    </w:div>
    <w:div w:id="1030761569">
      <w:bodyDiv w:val="1"/>
      <w:marLeft w:val="0"/>
      <w:marRight w:val="0"/>
      <w:marTop w:val="0"/>
      <w:marBottom w:val="0"/>
      <w:divBdr>
        <w:top w:val="none" w:sz="0" w:space="0" w:color="auto"/>
        <w:left w:val="none" w:sz="0" w:space="0" w:color="auto"/>
        <w:bottom w:val="none" w:sz="0" w:space="0" w:color="auto"/>
        <w:right w:val="none" w:sz="0" w:space="0" w:color="auto"/>
      </w:divBdr>
    </w:div>
    <w:div w:id="1037199264">
      <w:bodyDiv w:val="1"/>
      <w:marLeft w:val="0"/>
      <w:marRight w:val="0"/>
      <w:marTop w:val="0"/>
      <w:marBottom w:val="0"/>
      <w:divBdr>
        <w:top w:val="none" w:sz="0" w:space="0" w:color="auto"/>
        <w:left w:val="none" w:sz="0" w:space="0" w:color="auto"/>
        <w:bottom w:val="none" w:sz="0" w:space="0" w:color="auto"/>
        <w:right w:val="none" w:sz="0" w:space="0" w:color="auto"/>
      </w:divBdr>
    </w:div>
    <w:div w:id="1044064193">
      <w:bodyDiv w:val="1"/>
      <w:marLeft w:val="0"/>
      <w:marRight w:val="0"/>
      <w:marTop w:val="0"/>
      <w:marBottom w:val="0"/>
      <w:divBdr>
        <w:top w:val="none" w:sz="0" w:space="0" w:color="auto"/>
        <w:left w:val="none" w:sz="0" w:space="0" w:color="auto"/>
        <w:bottom w:val="none" w:sz="0" w:space="0" w:color="auto"/>
        <w:right w:val="none" w:sz="0" w:space="0" w:color="auto"/>
      </w:divBdr>
    </w:div>
    <w:div w:id="1178353697">
      <w:bodyDiv w:val="1"/>
      <w:marLeft w:val="0"/>
      <w:marRight w:val="0"/>
      <w:marTop w:val="0"/>
      <w:marBottom w:val="0"/>
      <w:divBdr>
        <w:top w:val="none" w:sz="0" w:space="0" w:color="auto"/>
        <w:left w:val="none" w:sz="0" w:space="0" w:color="auto"/>
        <w:bottom w:val="none" w:sz="0" w:space="0" w:color="auto"/>
        <w:right w:val="none" w:sz="0" w:space="0" w:color="auto"/>
      </w:divBdr>
    </w:div>
    <w:div w:id="1540970912">
      <w:bodyDiv w:val="1"/>
      <w:marLeft w:val="0"/>
      <w:marRight w:val="0"/>
      <w:marTop w:val="0"/>
      <w:marBottom w:val="0"/>
      <w:divBdr>
        <w:top w:val="none" w:sz="0" w:space="0" w:color="auto"/>
        <w:left w:val="none" w:sz="0" w:space="0" w:color="auto"/>
        <w:bottom w:val="none" w:sz="0" w:space="0" w:color="auto"/>
        <w:right w:val="none" w:sz="0" w:space="0" w:color="auto"/>
      </w:divBdr>
    </w:div>
    <w:div w:id="1637447077">
      <w:bodyDiv w:val="1"/>
      <w:marLeft w:val="0"/>
      <w:marRight w:val="0"/>
      <w:marTop w:val="0"/>
      <w:marBottom w:val="0"/>
      <w:divBdr>
        <w:top w:val="none" w:sz="0" w:space="0" w:color="auto"/>
        <w:left w:val="none" w:sz="0" w:space="0" w:color="auto"/>
        <w:bottom w:val="none" w:sz="0" w:space="0" w:color="auto"/>
        <w:right w:val="none" w:sz="0" w:space="0" w:color="auto"/>
      </w:divBdr>
    </w:div>
    <w:div w:id="201984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en.he1@monash.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29AB2E-E99C-40B6-9960-F35281F4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9170</Words>
  <Characters>52274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61322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 He</dc:creator>
  <cp:keywords/>
  <dc:description/>
  <cp:lastModifiedBy>Wen He</cp:lastModifiedBy>
  <cp:revision>4</cp:revision>
  <cp:lastPrinted>2019-10-08T01:06:00Z</cp:lastPrinted>
  <dcterms:created xsi:type="dcterms:W3CDTF">2020-02-27T01:11:00Z</dcterms:created>
  <dcterms:modified xsi:type="dcterms:W3CDTF">2020-02-27T01:42:00Z</dcterms:modified>
</cp:coreProperties>
</file>