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DC8E6" w14:textId="726CC195" w:rsidR="00F75787" w:rsidRPr="000F30A0" w:rsidRDefault="009C3C4A" w:rsidP="00D8217B">
      <w:pPr>
        <w:ind w:firstLine="720"/>
        <w:jc w:val="center"/>
        <w:rPr>
          <w:rFonts w:ascii="Times New Roman" w:hAnsi="Times New Roman"/>
          <w:b/>
        </w:rPr>
      </w:pPr>
      <w:r w:rsidRPr="000F30A0">
        <w:rPr>
          <w:rFonts w:ascii="Times New Roman" w:hAnsi="Times New Roman"/>
          <w:b/>
        </w:rPr>
        <w:t>List of details/ documents required for grant of In-principle approval (</w:t>
      </w:r>
      <w:r w:rsidR="00BA298B" w:rsidRPr="000F30A0">
        <w:rPr>
          <w:rFonts w:ascii="Times New Roman" w:hAnsi="Times New Roman"/>
          <w:b/>
        </w:rPr>
        <w:t>Bonus</w:t>
      </w:r>
      <w:r w:rsidRPr="000F30A0">
        <w:rPr>
          <w:rFonts w:ascii="Times New Roman" w:hAnsi="Times New Roman"/>
          <w:b/>
        </w:rPr>
        <w:t xml:space="preserve"> Issue) for listing under </w:t>
      </w:r>
      <w:r w:rsidR="00B60FD7" w:rsidRPr="000F30A0">
        <w:rPr>
          <w:rFonts w:ascii="Times New Roman" w:hAnsi="Times New Roman"/>
          <w:b/>
        </w:rPr>
        <w:t>Regulation</w:t>
      </w:r>
      <w:r w:rsidRPr="000F30A0">
        <w:rPr>
          <w:rFonts w:ascii="Times New Roman" w:hAnsi="Times New Roman"/>
          <w:b/>
        </w:rPr>
        <w:t xml:space="preserve"> 2</w:t>
      </w:r>
      <w:r w:rsidR="00B60FD7" w:rsidRPr="000F30A0">
        <w:rPr>
          <w:rFonts w:ascii="Times New Roman" w:hAnsi="Times New Roman"/>
          <w:b/>
        </w:rPr>
        <w:t>8</w:t>
      </w:r>
      <w:r w:rsidRPr="000F30A0">
        <w:rPr>
          <w:rFonts w:ascii="Times New Roman" w:hAnsi="Times New Roman"/>
          <w:b/>
        </w:rPr>
        <w:t>(</w:t>
      </w:r>
      <w:r w:rsidR="00B60FD7" w:rsidRPr="000F30A0">
        <w:rPr>
          <w:rFonts w:ascii="Times New Roman" w:hAnsi="Times New Roman"/>
          <w:b/>
        </w:rPr>
        <w:t>1</w:t>
      </w:r>
      <w:r w:rsidRPr="000F30A0">
        <w:rPr>
          <w:rFonts w:ascii="Times New Roman" w:hAnsi="Times New Roman"/>
          <w:b/>
        </w:rPr>
        <w:t>) of the</w:t>
      </w:r>
      <w:r w:rsidR="00B60FD7" w:rsidRPr="000F30A0">
        <w:rPr>
          <w:rFonts w:ascii="Times New Roman" w:hAnsi="Times New Roman"/>
          <w:b/>
        </w:rPr>
        <w:t xml:space="preserve"> SEBI (LODR) Regulations, 2015</w:t>
      </w:r>
    </w:p>
    <w:tbl>
      <w:tblPr>
        <w:tblW w:w="9086" w:type="dxa"/>
        <w:tblLook w:val="04A0" w:firstRow="1" w:lastRow="0" w:firstColumn="1" w:lastColumn="0" w:noHBand="0" w:noVBand="1"/>
      </w:tblPr>
      <w:tblGrid>
        <w:gridCol w:w="867"/>
        <w:gridCol w:w="5490"/>
        <w:gridCol w:w="2729"/>
      </w:tblGrid>
      <w:tr w:rsidR="009D2F19" w:rsidRPr="000F30A0" w14:paraId="135491E3" w14:textId="77777777" w:rsidTr="0066215C">
        <w:trPr>
          <w:trHeight w:val="592"/>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12AB2" w14:textId="77777777" w:rsidR="009D2F19" w:rsidRPr="000F30A0" w:rsidRDefault="009D2F19" w:rsidP="009D2F19">
            <w:pPr>
              <w:spacing w:after="0" w:line="240" w:lineRule="auto"/>
              <w:jc w:val="center"/>
              <w:rPr>
                <w:rFonts w:ascii="Times New Roman" w:eastAsia="Times New Roman" w:hAnsi="Times New Roman"/>
                <w:b/>
                <w:bCs/>
              </w:rPr>
            </w:pPr>
            <w:r w:rsidRPr="000F30A0">
              <w:rPr>
                <w:rFonts w:ascii="Times New Roman" w:eastAsia="Times New Roman" w:hAnsi="Times New Roman"/>
                <w:b/>
                <w:bCs/>
              </w:rPr>
              <w:t>Sr. No.</w:t>
            </w:r>
          </w:p>
        </w:tc>
        <w:tc>
          <w:tcPr>
            <w:tcW w:w="5490" w:type="dxa"/>
            <w:tcBorders>
              <w:top w:val="single" w:sz="4" w:space="0" w:color="auto"/>
              <w:left w:val="nil"/>
              <w:bottom w:val="single" w:sz="4" w:space="0" w:color="auto"/>
              <w:right w:val="single" w:sz="4" w:space="0" w:color="auto"/>
            </w:tcBorders>
            <w:shd w:val="clear" w:color="auto" w:fill="auto"/>
            <w:vAlign w:val="center"/>
            <w:hideMark/>
          </w:tcPr>
          <w:p w14:paraId="226FD458" w14:textId="77777777" w:rsidR="009D2F19" w:rsidRPr="000F30A0" w:rsidRDefault="009D2F19" w:rsidP="009D2F19">
            <w:pPr>
              <w:spacing w:after="0" w:line="240" w:lineRule="auto"/>
              <w:jc w:val="center"/>
              <w:rPr>
                <w:rFonts w:ascii="Times New Roman" w:eastAsia="Times New Roman" w:hAnsi="Times New Roman"/>
                <w:b/>
                <w:bCs/>
              </w:rPr>
            </w:pPr>
            <w:r w:rsidRPr="000F30A0">
              <w:rPr>
                <w:rFonts w:ascii="Times New Roman" w:eastAsia="Times New Roman" w:hAnsi="Times New Roman"/>
                <w:b/>
                <w:bCs/>
              </w:rPr>
              <w:t>List of Documents/ details to be submitted</w:t>
            </w:r>
          </w:p>
        </w:tc>
        <w:tc>
          <w:tcPr>
            <w:tcW w:w="2729" w:type="dxa"/>
            <w:tcBorders>
              <w:top w:val="single" w:sz="4" w:space="0" w:color="auto"/>
              <w:left w:val="nil"/>
              <w:bottom w:val="single" w:sz="4" w:space="0" w:color="auto"/>
              <w:right w:val="single" w:sz="4" w:space="0" w:color="auto"/>
            </w:tcBorders>
            <w:shd w:val="clear" w:color="auto" w:fill="auto"/>
            <w:noWrap/>
            <w:vAlign w:val="center"/>
            <w:hideMark/>
          </w:tcPr>
          <w:p w14:paraId="3731FA1A" w14:textId="77777777" w:rsidR="009D2F19" w:rsidRPr="000F30A0" w:rsidRDefault="009D2F19" w:rsidP="009D2F19">
            <w:pPr>
              <w:spacing w:after="0" w:line="240" w:lineRule="auto"/>
              <w:jc w:val="center"/>
              <w:rPr>
                <w:rFonts w:ascii="Times New Roman" w:eastAsia="Times New Roman" w:hAnsi="Times New Roman"/>
                <w:b/>
                <w:bCs/>
              </w:rPr>
            </w:pPr>
            <w:r w:rsidRPr="000F30A0">
              <w:rPr>
                <w:rFonts w:ascii="Times New Roman" w:eastAsia="Times New Roman" w:hAnsi="Times New Roman"/>
                <w:b/>
                <w:bCs/>
              </w:rPr>
              <w:t>Yes/No/Not Applicable</w:t>
            </w:r>
          </w:p>
        </w:tc>
      </w:tr>
      <w:tr w:rsidR="009D2F19" w:rsidRPr="000F30A0" w14:paraId="497A053F" w14:textId="77777777" w:rsidTr="0066215C">
        <w:trPr>
          <w:trHeight w:val="592"/>
        </w:trPr>
        <w:tc>
          <w:tcPr>
            <w:tcW w:w="867" w:type="dxa"/>
            <w:tcBorders>
              <w:top w:val="nil"/>
              <w:left w:val="single" w:sz="4" w:space="0" w:color="auto"/>
              <w:bottom w:val="single" w:sz="4" w:space="0" w:color="auto"/>
              <w:right w:val="single" w:sz="4" w:space="0" w:color="auto"/>
            </w:tcBorders>
            <w:shd w:val="clear" w:color="auto" w:fill="auto"/>
            <w:hideMark/>
          </w:tcPr>
          <w:p w14:paraId="2E6D6E28" w14:textId="77777777" w:rsidR="009D2F19" w:rsidRPr="000F30A0" w:rsidRDefault="009D2F19" w:rsidP="009D2F19">
            <w:pPr>
              <w:spacing w:after="0" w:line="240" w:lineRule="auto"/>
              <w:jc w:val="center"/>
              <w:rPr>
                <w:rFonts w:ascii="Times New Roman" w:eastAsia="Times New Roman" w:hAnsi="Times New Roman"/>
              </w:rPr>
            </w:pPr>
            <w:r w:rsidRPr="000F30A0">
              <w:rPr>
                <w:rFonts w:ascii="Times New Roman" w:eastAsia="Times New Roman" w:hAnsi="Times New Roman"/>
              </w:rPr>
              <w:t>1</w:t>
            </w:r>
          </w:p>
        </w:tc>
        <w:tc>
          <w:tcPr>
            <w:tcW w:w="5490" w:type="dxa"/>
            <w:tcBorders>
              <w:top w:val="nil"/>
              <w:left w:val="nil"/>
              <w:bottom w:val="single" w:sz="4" w:space="0" w:color="auto"/>
              <w:right w:val="single" w:sz="4" w:space="0" w:color="auto"/>
            </w:tcBorders>
            <w:shd w:val="clear" w:color="auto" w:fill="auto"/>
            <w:hideMark/>
          </w:tcPr>
          <w:p w14:paraId="3727D351" w14:textId="77777777" w:rsidR="009D2F19" w:rsidRPr="000F30A0" w:rsidRDefault="009D2F19" w:rsidP="009D2F19">
            <w:pPr>
              <w:spacing w:after="0" w:line="240" w:lineRule="auto"/>
              <w:jc w:val="both"/>
              <w:rPr>
                <w:rFonts w:ascii="Times New Roman" w:eastAsia="Times New Roman" w:hAnsi="Times New Roman"/>
              </w:rPr>
            </w:pPr>
            <w:r w:rsidRPr="000F30A0">
              <w:rPr>
                <w:rFonts w:ascii="Times New Roman" w:eastAsia="Times New Roman" w:hAnsi="Times New Roman"/>
              </w:rPr>
              <w:t>Certified copy of the resolution passed by the Board of Directors approving the issue</w:t>
            </w:r>
          </w:p>
        </w:tc>
        <w:tc>
          <w:tcPr>
            <w:tcW w:w="2729" w:type="dxa"/>
            <w:tcBorders>
              <w:top w:val="nil"/>
              <w:left w:val="nil"/>
              <w:bottom w:val="single" w:sz="4" w:space="0" w:color="auto"/>
              <w:right w:val="single" w:sz="4" w:space="0" w:color="auto"/>
            </w:tcBorders>
            <w:shd w:val="clear" w:color="auto" w:fill="auto"/>
            <w:hideMark/>
          </w:tcPr>
          <w:p w14:paraId="0DE29BA7" w14:textId="77777777" w:rsidR="009D2F19" w:rsidRPr="000F30A0" w:rsidRDefault="009D2F19" w:rsidP="009D2F19">
            <w:pPr>
              <w:spacing w:after="0" w:line="240" w:lineRule="auto"/>
              <w:jc w:val="both"/>
              <w:rPr>
                <w:rFonts w:ascii="Times New Roman" w:eastAsia="Times New Roman" w:hAnsi="Times New Roman"/>
              </w:rPr>
            </w:pPr>
            <w:r w:rsidRPr="000F30A0">
              <w:rPr>
                <w:rFonts w:ascii="Times New Roman" w:eastAsia="Times New Roman" w:hAnsi="Times New Roman"/>
              </w:rPr>
              <w:t> </w:t>
            </w:r>
          </w:p>
        </w:tc>
      </w:tr>
      <w:tr w:rsidR="009D2F19" w:rsidRPr="000F30A0" w14:paraId="0D17E9B8" w14:textId="77777777" w:rsidTr="0066215C">
        <w:trPr>
          <w:trHeight w:val="889"/>
        </w:trPr>
        <w:tc>
          <w:tcPr>
            <w:tcW w:w="867" w:type="dxa"/>
            <w:tcBorders>
              <w:top w:val="nil"/>
              <w:left w:val="single" w:sz="4" w:space="0" w:color="auto"/>
              <w:bottom w:val="single" w:sz="4" w:space="0" w:color="auto"/>
              <w:right w:val="single" w:sz="4" w:space="0" w:color="auto"/>
            </w:tcBorders>
            <w:shd w:val="clear" w:color="auto" w:fill="auto"/>
            <w:hideMark/>
          </w:tcPr>
          <w:p w14:paraId="692828D6" w14:textId="77777777" w:rsidR="009D2F19" w:rsidRPr="000F30A0" w:rsidRDefault="009D2F19" w:rsidP="009D2F19">
            <w:pPr>
              <w:spacing w:after="0" w:line="240" w:lineRule="auto"/>
              <w:jc w:val="center"/>
              <w:rPr>
                <w:rFonts w:ascii="Times New Roman" w:eastAsia="Times New Roman" w:hAnsi="Times New Roman"/>
              </w:rPr>
            </w:pPr>
            <w:r w:rsidRPr="000F30A0">
              <w:rPr>
                <w:rFonts w:ascii="Times New Roman" w:eastAsia="Times New Roman" w:hAnsi="Times New Roman"/>
              </w:rPr>
              <w:t>2</w:t>
            </w:r>
          </w:p>
        </w:tc>
        <w:tc>
          <w:tcPr>
            <w:tcW w:w="5490" w:type="dxa"/>
            <w:tcBorders>
              <w:top w:val="nil"/>
              <w:left w:val="nil"/>
              <w:bottom w:val="single" w:sz="4" w:space="0" w:color="auto"/>
              <w:right w:val="single" w:sz="4" w:space="0" w:color="auto"/>
            </w:tcBorders>
            <w:shd w:val="clear" w:color="auto" w:fill="auto"/>
            <w:hideMark/>
          </w:tcPr>
          <w:p w14:paraId="44B3899C" w14:textId="77777777" w:rsidR="009D2F19" w:rsidRPr="000F30A0" w:rsidRDefault="009D2F19" w:rsidP="009D2F19">
            <w:pPr>
              <w:spacing w:after="0" w:line="240" w:lineRule="auto"/>
              <w:jc w:val="both"/>
              <w:rPr>
                <w:rFonts w:ascii="Times New Roman" w:eastAsia="Times New Roman" w:hAnsi="Times New Roman"/>
              </w:rPr>
            </w:pPr>
            <w:r w:rsidRPr="000F30A0">
              <w:rPr>
                <w:rFonts w:ascii="Times New Roman" w:eastAsia="Times New Roman" w:hAnsi="Times New Roman"/>
              </w:rPr>
              <w:t>Certified true copy of the notice convening the AGM/EGM of shareholders along with the explanatory statement annexed thereto where the proposal for issue is to be put for approval</w:t>
            </w:r>
          </w:p>
        </w:tc>
        <w:tc>
          <w:tcPr>
            <w:tcW w:w="2729" w:type="dxa"/>
            <w:tcBorders>
              <w:top w:val="nil"/>
              <w:left w:val="nil"/>
              <w:bottom w:val="single" w:sz="4" w:space="0" w:color="auto"/>
              <w:right w:val="single" w:sz="4" w:space="0" w:color="auto"/>
            </w:tcBorders>
            <w:shd w:val="clear" w:color="auto" w:fill="auto"/>
            <w:hideMark/>
          </w:tcPr>
          <w:p w14:paraId="36B306C8" w14:textId="77777777" w:rsidR="009D2F19" w:rsidRPr="000F30A0" w:rsidRDefault="009D2F19" w:rsidP="009D2F19">
            <w:pPr>
              <w:spacing w:after="0" w:line="240" w:lineRule="auto"/>
              <w:jc w:val="both"/>
              <w:rPr>
                <w:rFonts w:ascii="Times New Roman" w:eastAsia="Times New Roman" w:hAnsi="Times New Roman"/>
              </w:rPr>
            </w:pPr>
            <w:r w:rsidRPr="000F30A0">
              <w:rPr>
                <w:rFonts w:ascii="Times New Roman" w:eastAsia="Times New Roman" w:hAnsi="Times New Roman"/>
              </w:rPr>
              <w:t> </w:t>
            </w:r>
          </w:p>
        </w:tc>
      </w:tr>
      <w:tr w:rsidR="009D2F19" w:rsidRPr="000F30A0" w14:paraId="51800F35" w14:textId="77777777" w:rsidTr="0066215C">
        <w:trPr>
          <w:trHeight w:val="875"/>
        </w:trPr>
        <w:tc>
          <w:tcPr>
            <w:tcW w:w="867" w:type="dxa"/>
            <w:tcBorders>
              <w:top w:val="nil"/>
              <w:left w:val="single" w:sz="4" w:space="0" w:color="auto"/>
              <w:bottom w:val="single" w:sz="4" w:space="0" w:color="auto"/>
              <w:right w:val="single" w:sz="4" w:space="0" w:color="auto"/>
            </w:tcBorders>
            <w:shd w:val="clear" w:color="auto" w:fill="auto"/>
            <w:hideMark/>
          </w:tcPr>
          <w:p w14:paraId="696E011F" w14:textId="77777777" w:rsidR="009D2F19" w:rsidRPr="000F30A0" w:rsidRDefault="009D2F19" w:rsidP="009D2F19">
            <w:pPr>
              <w:spacing w:after="0" w:line="240" w:lineRule="auto"/>
              <w:jc w:val="center"/>
              <w:rPr>
                <w:rFonts w:ascii="Times New Roman" w:eastAsia="Times New Roman" w:hAnsi="Times New Roman"/>
              </w:rPr>
            </w:pPr>
            <w:r w:rsidRPr="000F30A0">
              <w:rPr>
                <w:rFonts w:ascii="Times New Roman" w:eastAsia="Times New Roman" w:hAnsi="Times New Roman"/>
              </w:rPr>
              <w:t>3</w:t>
            </w:r>
          </w:p>
        </w:tc>
        <w:tc>
          <w:tcPr>
            <w:tcW w:w="5490" w:type="dxa"/>
            <w:tcBorders>
              <w:top w:val="nil"/>
              <w:left w:val="nil"/>
              <w:bottom w:val="single" w:sz="4" w:space="0" w:color="auto"/>
              <w:right w:val="single" w:sz="4" w:space="0" w:color="auto"/>
            </w:tcBorders>
            <w:shd w:val="clear" w:color="auto" w:fill="auto"/>
            <w:hideMark/>
          </w:tcPr>
          <w:p w14:paraId="3C2DF4D4" w14:textId="77777777" w:rsidR="009D2F19" w:rsidRPr="000F30A0" w:rsidRDefault="009D2F19" w:rsidP="009D2F19">
            <w:pPr>
              <w:spacing w:after="0" w:line="240" w:lineRule="auto"/>
              <w:jc w:val="both"/>
              <w:rPr>
                <w:rFonts w:ascii="Times New Roman" w:eastAsia="Times New Roman" w:hAnsi="Times New Roman"/>
              </w:rPr>
            </w:pPr>
            <w:r w:rsidRPr="000F30A0">
              <w:rPr>
                <w:rFonts w:ascii="Times New Roman" w:eastAsia="Times New Roman" w:hAnsi="Times New Roman"/>
              </w:rPr>
              <w:t xml:space="preserve">Certified copy of the resolution passed by the shareholders at the AGM/EGM approving the Bonus issue; </w:t>
            </w:r>
            <w:r w:rsidRPr="000F30A0">
              <w:rPr>
                <w:rFonts w:ascii="Times New Roman" w:eastAsia="Times New Roman" w:hAnsi="Times New Roman"/>
                <w:b/>
                <w:bCs/>
              </w:rPr>
              <w:t>and/or</w:t>
            </w:r>
            <w:r w:rsidRPr="000F30A0">
              <w:rPr>
                <w:rFonts w:ascii="Times New Roman" w:eastAsia="Times New Roman" w:hAnsi="Times New Roman"/>
              </w:rPr>
              <w:br/>
              <w:t xml:space="preserve">Increase in the </w:t>
            </w:r>
            <w:proofErr w:type="spellStart"/>
            <w:r w:rsidRPr="000F30A0">
              <w:rPr>
                <w:rFonts w:ascii="Times New Roman" w:eastAsia="Times New Roman" w:hAnsi="Times New Roman"/>
              </w:rPr>
              <w:t>authorised</w:t>
            </w:r>
            <w:proofErr w:type="spellEnd"/>
            <w:r w:rsidRPr="000F30A0">
              <w:rPr>
                <w:rFonts w:ascii="Times New Roman" w:eastAsia="Times New Roman" w:hAnsi="Times New Roman"/>
              </w:rPr>
              <w:t xml:space="preserve"> share capital, if applicable.</w:t>
            </w:r>
          </w:p>
        </w:tc>
        <w:tc>
          <w:tcPr>
            <w:tcW w:w="2729" w:type="dxa"/>
            <w:tcBorders>
              <w:top w:val="nil"/>
              <w:left w:val="nil"/>
              <w:bottom w:val="single" w:sz="4" w:space="0" w:color="auto"/>
              <w:right w:val="single" w:sz="4" w:space="0" w:color="auto"/>
            </w:tcBorders>
            <w:shd w:val="clear" w:color="auto" w:fill="auto"/>
            <w:hideMark/>
          </w:tcPr>
          <w:p w14:paraId="4A163870" w14:textId="77777777" w:rsidR="009D2F19" w:rsidRPr="000F30A0" w:rsidRDefault="009D2F19" w:rsidP="009D2F19">
            <w:pPr>
              <w:spacing w:after="0" w:line="240" w:lineRule="auto"/>
              <w:jc w:val="both"/>
              <w:rPr>
                <w:rFonts w:ascii="Times New Roman" w:eastAsia="Times New Roman" w:hAnsi="Times New Roman"/>
              </w:rPr>
            </w:pPr>
            <w:r w:rsidRPr="000F30A0">
              <w:rPr>
                <w:rFonts w:ascii="Times New Roman" w:eastAsia="Times New Roman" w:hAnsi="Times New Roman"/>
              </w:rPr>
              <w:t> </w:t>
            </w:r>
          </w:p>
        </w:tc>
      </w:tr>
      <w:tr w:rsidR="009D2F19" w:rsidRPr="000F30A0" w14:paraId="096459C2" w14:textId="77777777" w:rsidTr="0066215C">
        <w:trPr>
          <w:trHeight w:val="296"/>
        </w:trPr>
        <w:tc>
          <w:tcPr>
            <w:tcW w:w="867" w:type="dxa"/>
            <w:tcBorders>
              <w:top w:val="nil"/>
              <w:left w:val="single" w:sz="4" w:space="0" w:color="auto"/>
              <w:bottom w:val="single" w:sz="4" w:space="0" w:color="auto"/>
              <w:right w:val="single" w:sz="4" w:space="0" w:color="auto"/>
            </w:tcBorders>
            <w:shd w:val="clear" w:color="auto" w:fill="auto"/>
            <w:hideMark/>
          </w:tcPr>
          <w:p w14:paraId="38D43B06" w14:textId="77777777" w:rsidR="009D2F19" w:rsidRPr="000F30A0" w:rsidRDefault="009D2F19" w:rsidP="009D2F19">
            <w:pPr>
              <w:spacing w:after="0" w:line="240" w:lineRule="auto"/>
              <w:jc w:val="center"/>
              <w:rPr>
                <w:rFonts w:ascii="Times New Roman" w:eastAsia="Times New Roman" w:hAnsi="Times New Roman"/>
              </w:rPr>
            </w:pPr>
            <w:r w:rsidRPr="000F30A0">
              <w:rPr>
                <w:rFonts w:ascii="Times New Roman" w:eastAsia="Times New Roman" w:hAnsi="Times New Roman"/>
              </w:rPr>
              <w:t>4</w:t>
            </w:r>
          </w:p>
        </w:tc>
        <w:tc>
          <w:tcPr>
            <w:tcW w:w="5490" w:type="dxa"/>
            <w:tcBorders>
              <w:top w:val="nil"/>
              <w:left w:val="nil"/>
              <w:bottom w:val="single" w:sz="4" w:space="0" w:color="auto"/>
              <w:right w:val="single" w:sz="4" w:space="0" w:color="auto"/>
            </w:tcBorders>
            <w:shd w:val="clear" w:color="auto" w:fill="auto"/>
            <w:hideMark/>
          </w:tcPr>
          <w:p w14:paraId="40E915B1" w14:textId="77777777" w:rsidR="009D2F19" w:rsidRPr="000F30A0" w:rsidRDefault="009D2F19" w:rsidP="009D2F19">
            <w:pPr>
              <w:spacing w:after="0" w:line="240" w:lineRule="auto"/>
              <w:jc w:val="both"/>
              <w:rPr>
                <w:rFonts w:ascii="Times New Roman" w:eastAsia="Times New Roman" w:hAnsi="Times New Roman"/>
              </w:rPr>
            </w:pPr>
            <w:r w:rsidRPr="000F30A0">
              <w:rPr>
                <w:rFonts w:ascii="Times New Roman" w:eastAsia="Times New Roman" w:hAnsi="Times New Roman"/>
              </w:rPr>
              <w:t xml:space="preserve">Confirmation from the Company as per Annexure I </w:t>
            </w:r>
          </w:p>
        </w:tc>
        <w:tc>
          <w:tcPr>
            <w:tcW w:w="2729" w:type="dxa"/>
            <w:tcBorders>
              <w:top w:val="nil"/>
              <w:left w:val="nil"/>
              <w:bottom w:val="single" w:sz="4" w:space="0" w:color="auto"/>
              <w:right w:val="single" w:sz="4" w:space="0" w:color="auto"/>
            </w:tcBorders>
            <w:shd w:val="clear" w:color="auto" w:fill="auto"/>
            <w:hideMark/>
          </w:tcPr>
          <w:p w14:paraId="48F21033" w14:textId="77777777" w:rsidR="009D2F19" w:rsidRPr="000F30A0" w:rsidRDefault="009D2F19" w:rsidP="009D2F19">
            <w:pPr>
              <w:spacing w:after="0" w:line="240" w:lineRule="auto"/>
              <w:jc w:val="both"/>
              <w:rPr>
                <w:rFonts w:ascii="Times New Roman" w:eastAsia="Times New Roman" w:hAnsi="Times New Roman"/>
              </w:rPr>
            </w:pPr>
            <w:r w:rsidRPr="000F30A0">
              <w:rPr>
                <w:rFonts w:ascii="Times New Roman" w:eastAsia="Times New Roman" w:hAnsi="Times New Roman"/>
              </w:rPr>
              <w:t> </w:t>
            </w:r>
          </w:p>
        </w:tc>
      </w:tr>
      <w:tr w:rsidR="009D2F19" w:rsidRPr="000F30A0" w14:paraId="60FFFB87" w14:textId="77777777" w:rsidTr="0066215C">
        <w:trPr>
          <w:trHeight w:val="1580"/>
        </w:trPr>
        <w:tc>
          <w:tcPr>
            <w:tcW w:w="867" w:type="dxa"/>
            <w:tcBorders>
              <w:top w:val="nil"/>
              <w:left w:val="single" w:sz="4" w:space="0" w:color="auto"/>
              <w:bottom w:val="single" w:sz="4" w:space="0" w:color="auto"/>
              <w:right w:val="single" w:sz="4" w:space="0" w:color="auto"/>
            </w:tcBorders>
            <w:shd w:val="clear" w:color="auto" w:fill="auto"/>
            <w:hideMark/>
          </w:tcPr>
          <w:p w14:paraId="69D42A29" w14:textId="77777777" w:rsidR="009D2F19" w:rsidRPr="000F30A0" w:rsidRDefault="009D2F19" w:rsidP="009D2F19">
            <w:pPr>
              <w:spacing w:after="0" w:line="240" w:lineRule="auto"/>
              <w:jc w:val="center"/>
              <w:rPr>
                <w:rFonts w:ascii="Times New Roman" w:eastAsia="Times New Roman" w:hAnsi="Times New Roman"/>
              </w:rPr>
            </w:pPr>
            <w:r w:rsidRPr="000F30A0">
              <w:rPr>
                <w:rFonts w:ascii="Times New Roman" w:eastAsia="Times New Roman" w:hAnsi="Times New Roman"/>
              </w:rPr>
              <w:t>5</w:t>
            </w:r>
          </w:p>
        </w:tc>
        <w:tc>
          <w:tcPr>
            <w:tcW w:w="5490" w:type="dxa"/>
            <w:tcBorders>
              <w:top w:val="nil"/>
              <w:left w:val="nil"/>
              <w:bottom w:val="single" w:sz="4" w:space="0" w:color="auto"/>
              <w:right w:val="single" w:sz="4" w:space="0" w:color="auto"/>
            </w:tcBorders>
            <w:shd w:val="clear" w:color="auto" w:fill="auto"/>
            <w:hideMark/>
          </w:tcPr>
          <w:p w14:paraId="0B625A10" w14:textId="77777777" w:rsidR="009D2F19" w:rsidRPr="000F30A0" w:rsidRDefault="009D2F19" w:rsidP="009D2F19">
            <w:pPr>
              <w:spacing w:after="0" w:line="240" w:lineRule="auto"/>
              <w:jc w:val="both"/>
              <w:rPr>
                <w:rFonts w:ascii="Times New Roman" w:eastAsia="Times New Roman" w:hAnsi="Times New Roman"/>
              </w:rPr>
            </w:pPr>
            <w:r w:rsidRPr="000F30A0">
              <w:rPr>
                <w:rFonts w:ascii="Times New Roman" w:eastAsia="Times New Roman" w:hAnsi="Times New Roman"/>
              </w:rPr>
              <w:t>Certificate from Statutory Auditors / Practicing Chartered Accountant / Practicing Company Secretary confirming that the proposed bonus issue is being made in accordance with the requirements of Chapter XI of SEBI (Issue of Capital &amp; Disclosure Requirement) Regulations, 2018.</w:t>
            </w:r>
          </w:p>
        </w:tc>
        <w:tc>
          <w:tcPr>
            <w:tcW w:w="2729" w:type="dxa"/>
            <w:tcBorders>
              <w:top w:val="nil"/>
              <w:left w:val="nil"/>
              <w:bottom w:val="single" w:sz="4" w:space="0" w:color="auto"/>
              <w:right w:val="single" w:sz="4" w:space="0" w:color="auto"/>
            </w:tcBorders>
            <w:shd w:val="clear" w:color="auto" w:fill="auto"/>
            <w:hideMark/>
          </w:tcPr>
          <w:p w14:paraId="5725D241" w14:textId="77777777" w:rsidR="009D2F19" w:rsidRPr="000F30A0" w:rsidRDefault="009D2F19" w:rsidP="009D2F19">
            <w:pPr>
              <w:spacing w:after="0" w:line="240" w:lineRule="auto"/>
              <w:jc w:val="both"/>
              <w:rPr>
                <w:rFonts w:ascii="Times New Roman" w:eastAsia="Times New Roman" w:hAnsi="Times New Roman"/>
              </w:rPr>
            </w:pPr>
            <w:r w:rsidRPr="000F30A0">
              <w:rPr>
                <w:rFonts w:ascii="Times New Roman" w:eastAsia="Times New Roman" w:hAnsi="Times New Roman"/>
              </w:rPr>
              <w:t> </w:t>
            </w:r>
          </w:p>
        </w:tc>
      </w:tr>
      <w:tr w:rsidR="009D2F19" w:rsidRPr="000F30A0" w14:paraId="1015CED1" w14:textId="77777777" w:rsidTr="0066215C">
        <w:trPr>
          <w:trHeight w:val="1171"/>
        </w:trPr>
        <w:tc>
          <w:tcPr>
            <w:tcW w:w="867" w:type="dxa"/>
            <w:tcBorders>
              <w:top w:val="nil"/>
              <w:left w:val="single" w:sz="4" w:space="0" w:color="auto"/>
              <w:bottom w:val="single" w:sz="4" w:space="0" w:color="auto"/>
              <w:right w:val="single" w:sz="4" w:space="0" w:color="auto"/>
            </w:tcBorders>
            <w:shd w:val="clear" w:color="auto" w:fill="auto"/>
            <w:hideMark/>
          </w:tcPr>
          <w:p w14:paraId="576143CE" w14:textId="77777777" w:rsidR="009D2F19" w:rsidRPr="000F30A0" w:rsidRDefault="009D2F19" w:rsidP="009D2F19">
            <w:pPr>
              <w:spacing w:after="0" w:line="240" w:lineRule="auto"/>
              <w:jc w:val="center"/>
              <w:rPr>
                <w:rFonts w:ascii="Times New Roman" w:eastAsia="Times New Roman" w:hAnsi="Times New Roman"/>
              </w:rPr>
            </w:pPr>
            <w:r w:rsidRPr="000F30A0">
              <w:rPr>
                <w:rFonts w:ascii="Times New Roman" w:eastAsia="Times New Roman" w:hAnsi="Times New Roman"/>
              </w:rPr>
              <w:t>6</w:t>
            </w:r>
          </w:p>
        </w:tc>
        <w:tc>
          <w:tcPr>
            <w:tcW w:w="5490" w:type="dxa"/>
            <w:tcBorders>
              <w:top w:val="nil"/>
              <w:left w:val="nil"/>
              <w:bottom w:val="single" w:sz="4" w:space="0" w:color="auto"/>
              <w:right w:val="single" w:sz="4" w:space="0" w:color="auto"/>
            </w:tcBorders>
            <w:shd w:val="clear" w:color="auto" w:fill="auto"/>
            <w:hideMark/>
          </w:tcPr>
          <w:p w14:paraId="497326E7" w14:textId="77777777" w:rsidR="009D2F19" w:rsidRPr="000F30A0" w:rsidRDefault="009D2F19" w:rsidP="009D2F19">
            <w:pPr>
              <w:spacing w:after="0" w:line="240" w:lineRule="auto"/>
              <w:jc w:val="both"/>
              <w:rPr>
                <w:rFonts w:ascii="Times New Roman" w:eastAsia="Times New Roman" w:hAnsi="Times New Roman"/>
              </w:rPr>
            </w:pPr>
            <w:r w:rsidRPr="000F30A0">
              <w:rPr>
                <w:rFonts w:ascii="Times New Roman" w:eastAsia="Times New Roman" w:hAnsi="Times New Roman"/>
              </w:rPr>
              <w:t>Statement of total bonus entitlement as per the existing capital, bonus shares to be allotted and shares kept in abeyance, if any to  be given by the Company Secretary in the Format mentioned in Annexure II.</w:t>
            </w:r>
          </w:p>
        </w:tc>
        <w:tc>
          <w:tcPr>
            <w:tcW w:w="2729" w:type="dxa"/>
            <w:tcBorders>
              <w:top w:val="nil"/>
              <w:left w:val="nil"/>
              <w:bottom w:val="single" w:sz="4" w:space="0" w:color="auto"/>
              <w:right w:val="single" w:sz="4" w:space="0" w:color="auto"/>
            </w:tcBorders>
            <w:shd w:val="clear" w:color="auto" w:fill="auto"/>
            <w:hideMark/>
          </w:tcPr>
          <w:p w14:paraId="61A8496D" w14:textId="77777777" w:rsidR="009D2F19" w:rsidRPr="000F30A0" w:rsidRDefault="009D2F19" w:rsidP="009D2F19">
            <w:pPr>
              <w:spacing w:after="0" w:line="240" w:lineRule="auto"/>
              <w:jc w:val="both"/>
              <w:rPr>
                <w:rFonts w:ascii="Times New Roman" w:eastAsia="Times New Roman" w:hAnsi="Times New Roman"/>
              </w:rPr>
            </w:pPr>
            <w:r w:rsidRPr="000F30A0">
              <w:rPr>
                <w:rFonts w:ascii="Times New Roman" w:eastAsia="Times New Roman" w:hAnsi="Times New Roman"/>
              </w:rPr>
              <w:t> </w:t>
            </w:r>
          </w:p>
        </w:tc>
      </w:tr>
      <w:tr w:rsidR="009D2F19" w:rsidRPr="000F30A0" w14:paraId="60CDD005" w14:textId="77777777" w:rsidTr="0066215C">
        <w:trPr>
          <w:trHeight w:val="1284"/>
        </w:trPr>
        <w:tc>
          <w:tcPr>
            <w:tcW w:w="867" w:type="dxa"/>
            <w:tcBorders>
              <w:top w:val="nil"/>
              <w:left w:val="single" w:sz="4" w:space="0" w:color="auto"/>
              <w:bottom w:val="single" w:sz="4" w:space="0" w:color="auto"/>
              <w:right w:val="single" w:sz="4" w:space="0" w:color="auto"/>
            </w:tcBorders>
            <w:shd w:val="clear" w:color="auto" w:fill="auto"/>
            <w:hideMark/>
          </w:tcPr>
          <w:p w14:paraId="2FABD0D7" w14:textId="77777777" w:rsidR="009D2F19" w:rsidRPr="000F30A0" w:rsidRDefault="009D2F19" w:rsidP="009D2F19">
            <w:pPr>
              <w:spacing w:after="0" w:line="240" w:lineRule="auto"/>
              <w:jc w:val="center"/>
              <w:rPr>
                <w:rFonts w:ascii="Times New Roman" w:eastAsia="Times New Roman" w:hAnsi="Times New Roman"/>
              </w:rPr>
            </w:pPr>
            <w:r w:rsidRPr="000F30A0">
              <w:rPr>
                <w:rFonts w:ascii="Times New Roman" w:eastAsia="Times New Roman" w:hAnsi="Times New Roman"/>
              </w:rPr>
              <w:t>7</w:t>
            </w:r>
          </w:p>
        </w:tc>
        <w:tc>
          <w:tcPr>
            <w:tcW w:w="5490" w:type="dxa"/>
            <w:tcBorders>
              <w:top w:val="nil"/>
              <w:left w:val="nil"/>
              <w:bottom w:val="single" w:sz="4" w:space="0" w:color="auto"/>
              <w:right w:val="single" w:sz="4" w:space="0" w:color="auto"/>
            </w:tcBorders>
            <w:shd w:val="clear" w:color="auto" w:fill="auto"/>
            <w:hideMark/>
          </w:tcPr>
          <w:p w14:paraId="6D778253" w14:textId="77777777" w:rsidR="009D2F19" w:rsidRPr="000F30A0" w:rsidRDefault="009D2F19" w:rsidP="009D2F19">
            <w:pPr>
              <w:spacing w:after="0" w:line="240" w:lineRule="auto"/>
              <w:jc w:val="both"/>
              <w:rPr>
                <w:rFonts w:ascii="Times New Roman" w:eastAsia="Times New Roman" w:hAnsi="Times New Roman"/>
              </w:rPr>
            </w:pPr>
            <w:r w:rsidRPr="000F30A0">
              <w:rPr>
                <w:rFonts w:ascii="Times New Roman" w:eastAsia="Times New Roman" w:hAnsi="Times New Roman"/>
              </w:rPr>
              <w:t>Certified true copy of the amended copy of the Memorandum and Articles of Association of the Company. In case the Memorandum and Articles of Association is not amended, confirmation from the company regarding the same</w:t>
            </w:r>
          </w:p>
        </w:tc>
        <w:tc>
          <w:tcPr>
            <w:tcW w:w="2729" w:type="dxa"/>
            <w:tcBorders>
              <w:top w:val="nil"/>
              <w:left w:val="nil"/>
              <w:bottom w:val="single" w:sz="4" w:space="0" w:color="auto"/>
              <w:right w:val="single" w:sz="4" w:space="0" w:color="auto"/>
            </w:tcBorders>
            <w:shd w:val="clear" w:color="auto" w:fill="auto"/>
            <w:noWrap/>
            <w:vAlign w:val="bottom"/>
            <w:hideMark/>
          </w:tcPr>
          <w:p w14:paraId="1CCF892A" w14:textId="77777777" w:rsidR="009D2F19" w:rsidRPr="000F30A0" w:rsidRDefault="009D2F19" w:rsidP="009D2F19">
            <w:pPr>
              <w:spacing w:after="0" w:line="240" w:lineRule="auto"/>
              <w:jc w:val="both"/>
              <w:rPr>
                <w:rFonts w:ascii="Times New Roman" w:eastAsia="Times New Roman" w:hAnsi="Times New Roman"/>
              </w:rPr>
            </w:pPr>
            <w:r w:rsidRPr="000F30A0">
              <w:rPr>
                <w:rFonts w:ascii="Times New Roman" w:eastAsia="Times New Roman" w:hAnsi="Times New Roman"/>
              </w:rPr>
              <w:t> </w:t>
            </w:r>
          </w:p>
        </w:tc>
      </w:tr>
    </w:tbl>
    <w:p w14:paraId="2B68098A" w14:textId="77777777" w:rsidR="0082496A" w:rsidRDefault="0082496A" w:rsidP="0082496A">
      <w:pPr>
        <w:spacing w:after="0" w:line="240" w:lineRule="auto"/>
        <w:rPr>
          <w:rFonts w:ascii="Times New Roman" w:eastAsia="Times New Roman" w:hAnsi="Times New Roman"/>
          <w:b/>
          <w:bCs/>
          <w:i/>
          <w:iCs/>
        </w:rPr>
      </w:pPr>
    </w:p>
    <w:p w14:paraId="761F6E0D" w14:textId="2ECDE21C" w:rsidR="0082496A" w:rsidRPr="0082496A" w:rsidRDefault="0082496A" w:rsidP="0082496A">
      <w:pPr>
        <w:spacing w:after="0" w:line="240" w:lineRule="auto"/>
        <w:rPr>
          <w:rFonts w:ascii="Times New Roman" w:eastAsia="Times New Roman" w:hAnsi="Times New Roman"/>
          <w:sz w:val="28"/>
          <w:szCs w:val="28"/>
        </w:rPr>
      </w:pPr>
      <w:r w:rsidRPr="0082496A">
        <w:rPr>
          <w:rFonts w:ascii="Times New Roman" w:eastAsia="Times New Roman" w:hAnsi="Times New Roman"/>
          <w:b/>
          <w:bCs/>
          <w:i/>
          <w:iCs/>
          <w:sz w:val="24"/>
          <w:szCs w:val="24"/>
        </w:rPr>
        <w:t xml:space="preserve">Note: </w:t>
      </w:r>
      <w:r w:rsidRPr="0082496A">
        <w:rPr>
          <w:rFonts w:ascii="Times New Roman" w:eastAsia="Times New Roman" w:hAnsi="Times New Roman"/>
          <w:b/>
          <w:bCs/>
          <w:i/>
          <w:iCs/>
          <w:sz w:val="24"/>
          <w:szCs w:val="24"/>
        </w:rPr>
        <w:br/>
        <w:t>Processing fees is Rs. 1,50,000/- plus applicable taxes. (For SME Emerge Listed Companies: Rs. 1,00,000/- plus applicable taxes.)</w:t>
      </w:r>
      <w:r w:rsidRPr="0082496A">
        <w:rPr>
          <w:rFonts w:ascii="Times New Roman" w:eastAsia="Times New Roman" w:hAnsi="Times New Roman"/>
          <w:b/>
          <w:bCs/>
          <w:i/>
          <w:iCs/>
          <w:sz w:val="24"/>
          <w:szCs w:val="24"/>
        </w:rPr>
        <w:br/>
      </w:r>
      <w:r w:rsidRPr="0082496A">
        <w:rPr>
          <w:rFonts w:ascii="Times New Roman" w:eastAsia="Times New Roman" w:hAnsi="Times New Roman"/>
          <w:b/>
          <w:bCs/>
          <w:i/>
          <w:iCs/>
          <w:sz w:val="28"/>
          <w:szCs w:val="28"/>
        </w:rPr>
        <w:t xml:space="preserve"> </w:t>
      </w:r>
    </w:p>
    <w:p w14:paraId="7B112670" w14:textId="77777777" w:rsidR="0082496A" w:rsidRPr="0082496A" w:rsidRDefault="0082496A" w:rsidP="0082496A">
      <w:pPr>
        <w:spacing w:after="240" w:line="240" w:lineRule="auto"/>
        <w:rPr>
          <w:rFonts w:ascii="Times New Roman" w:eastAsia="Times New Roman" w:hAnsi="Times New Roman"/>
          <w:b/>
          <w:i/>
          <w:color w:val="000000"/>
        </w:rPr>
      </w:pPr>
    </w:p>
    <w:p w14:paraId="269BB7B3" w14:textId="77777777" w:rsidR="0075113E" w:rsidRPr="000F30A0" w:rsidRDefault="0075113E" w:rsidP="00B60FD7">
      <w:pPr>
        <w:spacing w:after="0"/>
        <w:rPr>
          <w:rFonts w:ascii="Times New Roman" w:hAnsi="Times New Roman"/>
          <w:b/>
        </w:rPr>
      </w:pPr>
      <w:r w:rsidRPr="000F30A0">
        <w:rPr>
          <w:rFonts w:ascii="Times New Roman" w:hAnsi="Times New Roman"/>
          <w:b/>
        </w:rPr>
        <w:br w:type="page"/>
      </w:r>
    </w:p>
    <w:p w14:paraId="3EE316B5" w14:textId="77777777" w:rsidR="0068130B" w:rsidRPr="000F30A0" w:rsidRDefault="0075113E" w:rsidP="00865CA2">
      <w:pPr>
        <w:spacing w:after="0"/>
        <w:jc w:val="center"/>
        <w:rPr>
          <w:rFonts w:ascii="Times New Roman" w:hAnsi="Times New Roman"/>
          <w:b/>
        </w:rPr>
      </w:pPr>
      <w:r w:rsidRPr="000F30A0">
        <w:rPr>
          <w:rFonts w:ascii="Times New Roman" w:hAnsi="Times New Roman"/>
          <w:b/>
        </w:rPr>
        <w:lastRenderedPageBreak/>
        <w:t>Annexure I</w:t>
      </w:r>
    </w:p>
    <w:p w14:paraId="28EAFEF0" w14:textId="77777777" w:rsidR="00D92D22" w:rsidRPr="000F30A0" w:rsidRDefault="00D92D22" w:rsidP="0075113E">
      <w:pPr>
        <w:jc w:val="center"/>
        <w:rPr>
          <w:rFonts w:ascii="Times New Roman" w:hAnsi="Times New Roman"/>
          <w:b/>
          <w:bCs/>
        </w:rPr>
      </w:pPr>
    </w:p>
    <w:p w14:paraId="5A430737" w14:textId="77777777" w:rsidR="00401B3F" w:rsidRPr="000F30A0" w:rsidRDefault="00401B3F" w:rsidP="0075113E">
      <w:pPr>
        <w:jc w:val="center"/>
        <w:rPr>
          <w:rFonts w:ascii="Times New Roman" w:hAnsi="Times New Roman"/>
          <w:b/>
          <w:bCs/>
        </w:rPr>
      </w:pPr>
      <w:r w:rsidRPr="000F30A0">
        <w:rPr>
          <w:rFonts w:ascii="Times New Roman" w:hAnsi="Times New Roman"/>
          <w:b/>
          <w:bCs/>
        </w:rPr>
        <w:t>Format of the confirmation to be submitted on the letter head of the company:</w:t>
      </w:r>
    </w:p>
    <w:p w14:paraId="5878B480" w14:textId="77777777" w:rsidR="00401B3F" w:rsidRPr="000F30A0" w:rsidRDefault="00401B3F" w:rsidP="00401B3F">
      <w:pPr>
        <w:pStyle w:val="BodyTextIndent"/>
        <w:ind w:left="0" w:firstLine="0"/>
        <w:rPr>
          <w:sz w:val="22"/>
          <w:szCs w:val="22"/>
        </w:rPr>
      </w:pPr>
    </w:p>
    <w:p w14:paraId="29B18571" w14:textId="77777777" w:rsidR="00401B3F" w:rsidRPr="000F30A0" w:rsidRDefault="00401B3F" w:rsidP="00401B3F">
      <w:pPr>
        <w:pStyle w:val="BodyTextIndent"/>
        <w:ind w:left="0" w:firstLine="0"/>
        <w:rPr>
          <w:sz w:val="22"/>
          <w:szCs w:val="22"/>
        </w:rPr>
      </w:pPr>
      <w:r w:rsidRPr="000F30A0">
        <w:rPr>
          <w:sz w:val="22"/>
          <w:szCs w:val="22"/>
        </w:rPr>
        <w:t>To,</w:t>
      </w:r>
    </w:p>
    <w:p w14:paraId="1A590BF5" w14:textId="77777777" w:rsidR="00401B3F" w:rsidRPr="000F30A0" w:rsidRDefault="00401B3F" w:rsidP="00401B3F">
      <w:pPr>
        <w:pStyle w:val="BodyTextIndent"/>
        <w:ind w:left="0" w:firstLine="0"/>
        <w:rPr>
          <w:sz w:val="22"/>
          <w:szCs w:val="22"/>
        </w:rPr>
      </w:pPr>
      <w:r w:rsidRPr="000F30A0">
        <w:rPr>
          <w:sz w:val="22"/>
          <w:szCs w:val="22"/>
        </w:rPr>
        <w:t>Manager - Listing Compliance</w:t>
      </w:r>
    </w:p>
    <w:p w14:paraId="652C698D" w14:textId="77777777" w:rsidR="00401B3F" w:rsidRPr="000F30A0" w:rsidRDefault="00401B3F" w:rsidP="00401B3F">
      <w:pPr>
        <w:pStyle w:val="BodyTextIndent"/>
        <w:ind w:left="0" w:firstLine="0"/>
        <w:rPr>
          <w:sz w:val="22"/>
          <w:szCs w:val="22"/>
        </w:rPr>
      </w:pPr>
      <w:r w:rsidRPr="000F30A0">
        <w:rPr>
          <w:sz w:val="22"/>
          <w:szCs w:val="22"/>
        </w:rPr>
        <w:t>National Stock Exchange of India Limited</w:t>
      </w:r>
    </w:p>
    <w:p w14:paraId="73DA4539" w14:textId="77777777" w:rsidR="00401B3F" w:rsidRPr="000F30A0" w:rsidRDefault="00401B3F" w:rsidP="00401B3F">
      <w:pPr>
        <w:pStyle w:val="BodyTextIndent"/>
        <w:ind w:left="0" w:firstLine="0"/>
        <w:rPr>
          <w:sz w:val="22"/>
          <w:szCs w:val="22"/>
        </w:rPr>
      </w:pPr>
      <w:r w:rsidRPr="000F30A0">
        <w:rPr>
          <w:sz w:val="22"/>
          <w:szCs w:val="22"/>
        </w:rPr>
        <w:t>‘Exchange Plaza’. C-1, Block G,</w:t>
      </w:r>
    </w:p>
    <w:p w14:paraId="179E9757" w14:textId="77777777" w:rsidR="00401B3F" w:rsidRPr="000F30A0" w:rsidRDefault="00401B3F" w:rsidP="00401B3F">
      <w:pPr>
        <w:pStyle w:val="BodyTextIndent"/>
        <w:ind w:left="0" w:firstLine="0"/>
        <w:rPr>
          <w:sz w:val="22"/>
          <w:szCs w:val="22"/>
        </w:rPr>
      </w:pPr>
      <w:r w:rsidRPr="000F30A0">
        <w:rPr>
          <w:sz w:val="22"/>
          <w:szCs w:val="22"/>
        </w:rPr>
        <w:t>Bandra Kurla Complex, Bandra (E),</w:t>
      </w:r>
    </w:p>
    <w:p w14:paraId="3A20B35B" w14:textId="77777777" w:rsidR="00401B3F" w:rsidRPr="000F30A0" w:rsidRDefault="00401B3F" w:rsidP="00401B3F">
      <w:pPr>
        <w:rPr>
          <w:rFonts w:ascii="Times New Roman" w:hAnsi="Times New Roman"/>
        </w:rPr>
      </w:pPr>
      <w:r w:rsidRPr="000F30A0">
        <w:rPr>
          <w:rFonts w:ascii="Times New Roman" w:hAnsi="Times New Roman"/>
        </w:rPr>
        <w:t>Mumbai - 400 051</w:t>
      </w:r>
    </w:p>
    <w:p w14:paraId="138D803B" w14:textId="77777777" w:rsidR="00401B3F" w:rsidRPr="000F30A0" w:rsidRDefault="00401B3F" w:rsidP="00401B3F">
      <w:pPr>
        <w:rPr>
          <w:rFonts w:ascii="Times New Roman" w:hAnsi="Times New Roman"/>
        </w:rPr>
      </w:pPr>
      <w:r w:rsidRPr="000F30A0">
        <w:rPr>
          <w:rFonts w:ascii="Times New Roman" w:hAnsi="Times New Roman"/>
        </w:rPr>
        <w:t>Dear Sir</w:t>
      </w:r>
      <w:r w:rsidR="003041C8" w:rsidRPr="000F30A0">
        <w:rPr>
          <w:rFonts w:ascii="Times New Roman" w:hAnsi="Times New Roman"/>
        </w:rPr>
        <w:t>/Madam</w:t>
      </w:r>
      <w:r w:rsidRPr="000F30A0">
        <w:rPr>
          <w:rFonts w:ascii="Times New Roman" w:hAnsi="Times New Roman"/>
        </w:rPr>
        <w:t>,</w:t>
      </w:r>
    </w:p>
    <w:p w14:paraId="367D0690" w14:textId="77777777" w:rsidR="00401B3F" w:rsidRPr="000F30A0" w:rsidRDefault="00401B3F" w:rsidP="00BB0215">
      <w:pPr>
        <w:jc w:val="both"/>
        <w:rPr>
          <w:rFonts w:ascii="Times New Roman" w:hAnsi="Times New Roman"/>
          <w:b/>
        </w:rPr>
      </w:pPr>
      <w:r w:rsidRPr="000F30A0">
        <w:rPr>
          <w:rFonts w:ascii="Times New Roman" w:hAnsi="Times New Roman"/>
          <w:b/>
        </w:rPr>
        <w:t>Sub:</w:t>
      </w:r>
      <w:r w:rsidRPr="000F30A0">
        <w:rPr>
          <w:rFonts w:ascii="Times New Roman" w:hAnsi="Times New Roman"/>
          <w:b/>
        </w:rPr>
        <w:tab/>
        <w:t xml:space="preserve">Application for “In-principle approval” prior to issue and allotment of ______ (Quantity &amp; Type of Securities) </w:t>
      </w:r>
      <w:r w:rsidR="009D2F19" w:rsidRPr="000F30A0">
        <w:rPr>
          <w:rFonts w:ascii="Times New Roman" w:hAnsi="Times New Roman"/>
          <w:b/>
        </w:rPr>
        <w:t>pursuant to Bonus issue</w:t>
      </w:r>
      <w:r w:rsidRPr="000F30A0">
        <w:rPr>
          <w:rFonts w:ascii="Times New Roman" w:hAnsi="Times New Roman"/>
          <w:b/>
        </w:rPr>
        <w:t xml:space="preserve"> under </w:t>
      </w:r>
      <w:r w:rsidR="00B60FD7" w:rsidRPr="000F30A0">
        <w:rPr>
          <w:rFonts w:ascii="Times New Roman" w:hAnsi="Times New Roman"/>
          <w:b/>
        </w:rPr>
        <w:t>Regulation 28(1) of the SEBI (LODR) Regulations, 2015</w:t>
      </w:r>
      <w:r w:rsidRPr="000F30A0">
        <w:rPr>
          <w:rFonts w:ascii="Times New Roman" w:hAnsi="Times New Roman"/>
          <w:b/>
        </w:rPr>
        <w:t>.</w:t>
      </w:r>
    </w:p>
    <w:p w14:paraId="7571A5D0" w14:textId="77777777" w:rsidR="00401B3F" w:rsidRPr="000F30A0" w:rsidRDefault="00401B3F" w:rsidP="00E17CC8">
      <w:pPr>
        <w:spacing w:line="240" w:lineRule="auto"/>
        <w:rPr>
          <w:rFonts w:ascii="Times New Roman" w:hAnsi="Times New Roman"/>
        </w:rPr>
      </w:pPr>
      <w:r w:rsidRPr="000F30A0">
        <w:rPr>
          <w:rFonts w:ascii="Times New Roman" w:hAnsi="Times New Roman"/>
        </w:rPr>
        <w:t>In connection with above application for in-principle approval, we hereby confirm and certify that:</w:t>
      </w:r>
    </w:p>
    <w:p w14:paraId="306FC385" w14:textId="77777777" w:rsidR="00E7055E" w:rsidRDefault="009D2F19" w:rsidP="009D2F19">
      <w:pPr>
        <w:pStyle w:val="ListParagraph"/>
        <w:numPr>
          <w:ilvl w:val="0"/>
          <w:numId w:val="10"/>
        </w:numPr>
        <w:rPr>
          <w:rFonts w:ascii="Times New Roman" w:hAnsi="Times New Roman"/>
          <w:bCs/>
        </w:rPr>
      </w:pPr>
      <w:r w:rsidRPr="000F30A0">
        <w:rPr>
          <w:rFonts w:ascii="Times New Roman" w:hAnsi="Times New Roman"/>
          <w:bCs/>
        </w:rPr>
        <w:t>if the conversion of FCD/PCD’s is pending from Company, benefit of bonus is available to those FCD/PCD holders also</w:t>
      </w:r>
    </w:p>
    <w:p w14:paraId="5C4888DB" w14:textId="77777777" w:rsidR="00E7055E" w:rsidRDefault="00E7055E" w:rsidP="00E7055E">
      <w:pPr>
        <w:pStyle w:val="ListParagraph"/>
        <w:rPr>
          <w:rFonts w:ascii="Times New Roman" w:hAnsi="Times New Roman"/>
          <w:bCs/>
        </w:rPr>
      </w:pPr>
    </w:p>
    <w:p w14:paraId="23F32529" w14:textId="5120A780" w:rsidR="009D2F19" w:rsidRPr="000F30A0" w:rsidRDefault="00E7055E" w:rsidP="00E7055E">
      <w:pPr>
        <w:pStyle w:val="ListParagraph"/>
        <w:numPr>
          <w:ilvl w:val="0"/>
          <w:numId w:val="10"/>
        </w:numPr>
        <w:jc w:val="both"/>
        <w:rPr>
          <w:rFonts w:ascii="Times New Roman" w:hAnsi="Times New Roman"/>
          <w:bCs/>
        </w:rPr>
      </w:pPr>
      <w:r>
        <w:rPr>
          <w:rFonts w:ascii="Times New Roman" w:hAnsi="Times New Roman"/>
          <w:bCs/>
        </w:rPr>
        <w:t>the issuer has received approval from the Stock Exchanges for listing and trading of all the securities</w:t>
      </w:r>
      <w:r w:rsidRPr="00E7055E">
        <w:t xml:space="preserve"> </w:t>
      </w:r>
      <w:r w:rsidRPr="00E7055E">
        <w:rPr>
          <w:rFonts w:ascii="Times New Roman" w:hAnsi="Times New Roman"/>
          <w:bCs/>
        </w:rPr>
        <w:t>excluding options granted to employees pursuant to an employee stock option scheme and convertibles securities, issued by the issuer prior to the issuance of bonus shares</w:t>
      </w:r>
    </w:p>
    <w:p w14:paraId="086B716F" w14:textId="77777777" w:rsidR="00DC42A6" w:rsidRPr="000F30A0" w:rsidRDefault="00DC42A6" w:rsidP="00DC42A6">
      <w:pPr>
        <w:pStyle w:val="ListParagraph"/>
        <w:rPr>
          <w:rFonts w:ascii="Times New Roman" w:hAnsi="Times New Roman"/>
          <w:bCs/>
        </w:rPr>
      </w:pPr>
    </w:p>
    <w:p w14:paraId="41E54E77" w14:textId="043B7FA3" w:rsidR="009D2F19" w:rsidRPr="000F30A0" w:rsidRDefault="009D2F19" w:rsidP="009D2F19">
      <w:pPr>
        <w:pStyle w:val="ListParagraph"/>
        <w:numPr>
          <w:ilvl w:val="0"/>
          <w:numId w:val="10"/>
        </w:numPr>
        <w:rPr>
          <w:rFonts w:ascii="Times New Roman" w:hAnsi="Times New Roman"/>
          <w:bCs/>
        </w:rPr>
      </w:pPr>
      <w:r w:rsidRPr="000F30A0">
        <w:rPr>
          <w:rFonts w:ascii="Times New Roman" w:hAnsi="Times New Roman"/>
          <w:bCs/>
        </w:rPr>
        <w:t xml:space="preserve">there is no partly paid up shares existing in the Company and all the partly paid up shares are made fully paid up before the bonus issue is made by the Company </w:t>
      </w:r>
    </w:p>
    <w:p w14:paraId="799C3394" w14:textId="77777777" w:rsidR="00DC42A6" w:rsidRPr="000F30A0" w:rsidRDefault="00DC42A6" w:rsidP="00DC42A6">
      <w:pPr>
        <w:pStyle w:val="ListParagraph"/>
        <w:rPr>
          <w:rFonts w:ascii="Times New Roman" w:hAnsi="Times New Roman"/>
          <w:bCs/>
        </w:rPr>
      </w:pPr>
    </w:p>
    <w:p w14:paraId="15000A64" w14:textId="14D26DFC" w:rsidR="009D2F19" w:rsidRPr="000F30A0" w:rsidRDefault="009D2F19" w:rsidP="009D2F19">
      <w:pPr>
        <w:pStyle w:val="ListParagraph"/>
        <w:numPr>
          <w:ilvl w:val="0"/>
          <w:numId w:val="10"/>
        </w:numPr>
        <w:rPr>
          <w:rFonts w:ascii="Times New Roman" w:hAnsi="Times New Roman"/>
          <w:bCs/>
        </w:rPr>
      </w:pPr>
      <w:r w:rsidRPr="000F30A0">
        <w:rPr>
          <w:rFonts w:ascii="Times New Roman" w:hAnsi="Times New Roman"/>
          <w:bCs/>
        </w:rPr>
        <w:t xml:space="preserve">the equity shares so issued / arising on conversion of any convertible instrument so issued shall rank </w:t>
      </w:r>
      <w:proofErr w:type="spellStart"/>
      <w:r w:rsidRPr="000F30A0">
        <w:rPr>
          <w:rFonts w:ascii="Times New Roman" w:hAnsi="Times New Roman"/>
          <w:bCs/>
        </w:rPr>
        <w:t>pari</w:t>
      </w:r>
      <w:proofErr w:type="spellEnd"/>
      <w:r w:rsidRPr="000F30A0">
        <w:rPr>
          <w:rFonts w:ascii="Times New Roman" w:hAnsi="Times New Roman"/>
          <w:bCs/>
        </w:rPr>
        <w:t xml:space="preserve"> passu with the existing shares of the Company in all respects including dividend</w:t>
      </w:r>
    </w:p>
    <w:p w14:paraId="67D22753" w14:textId="77777777" w:rsidR="00DC42A6" w:rsidRPr="000F30A0" w:rsidRDefault="00DC42A6" w:rsidP="00DC42A6">
      <w:pPr>
        <w:pStyle w:val="ListParagraph"/>
        <w:rPr>
          <w:rFonts w:ascii="Times New Roman" w:hAnsi="Times New Roman"/>
          <w:bCs/>
        </w:rPr>
      </w:pPr>
    </w:p>
    <w:p w14:paraId="3D9B6C07" w14:textId="572D47ED" w:rsidR="00C8146C" w:rsidRPr="004552D4" w:rsidRDefault="009D2F19" w:rsidP="00686A47">
      <w:pPr>
        <w:pStyle w:val="ListParagraph"/>
        <w:numPr>
          <w:ilvl w:val="0"/>
          <w:numId w:val="10"/>
        </w:numPr>
        <w:jc w:val="both"/>
        <w:rPr>
          <w:rFonts w:ascii="Times New Roman" w:hAnsi="Times New Roman"/>
          <w:b/>
        </w:rPr>
      </w:pPr>
      <w:r w:rsidRPr="000F30A0">
        <w:rPr>
          <w:rFonts w:ascii="Times New Roman" w:hAnsi="Times New Roman"/>
          <w:bCs/>
        </w:rPr>
        <w:t>the company,</w:t>
      </w:r>
      <w:r w:rsidR="004552D4">
        <w:rPr>
          <w:rFonts w:ascii="Times New Roman" w:hAnsi="Times New Roman"/>
          <w:bCs/>
        </w:rPr>
        <w:t xml:space="preserve"> </w:t>
      </w:r>
      <w:r w:rsidRPr="000F30A0">
        <w:rPr>
          <w:rFonts w:ascii="Times New Roman" w:hAnsi="Times New Roman"/>
          <w:bCs/>
        </w:rPr>
        <w:t>its whole-time directors, person(s) responsible for ensuring compliance with the securities laws, its promoters and the companies which are promoted by any of them are not in violation of the provisions of Regulation 34 of the SEBI (Delisting of Equity Shares) Regulations, 2021.</w:t>
      </w:r>
    </w:p>
    <w:p w14:paraId="4E599117" w14:textId="77777777" w:rsidR="004552D4" w:rsidRPr="004552D4" w:rsidRDefault="004552D4" w:rsidP="004552D4">
      <w:pPr>
        <w:pStyle w:val="ListParagraph"/>
        <w:rPr>
          <w:rFonts w:ascii="Times New Roman" w:hAnsi="Times New Roman"/>
          <w:b/>
        </w:rPr>
      </w:pPr>
    </w:p>
    <w:p w14:paraId="02C4AE26" w14:textId="77D177EB" w:rsidR="004552D4" w:rsidRDefault="004552D4" w:rsidP="004552D4">
      <w:pPr>
        <w:pStyle w:val="ListParagraph"/>
        <w:numPr>
          <w:ilvl w:val="0"/>
          <w:numId w:val="10"/>
        </w:numPr>
        <w:jc w:val="both"/>
        <w:rPr>
          <w:rFonts w:ascii="Times New Roman" w:hAnsi="Times New Roman"/>
          <w:bCs/>
        </w:rPr>
      </w:pPr>
      <w:r w:rsidRPr="004552D4">
        <w:rPr>
          <w:rFonts w:ascii="Times New Roman" w:hAnsi="Times New Roman"/>
          <w:bCs/>
        </w:rPr>
        <w:t>the issuer has not defaulted in payment of interest or principal in respect of fixed deposits or debt securities issued by it.</w:t>
      </w:r>
    </w:p>
    <w:p w14:paraId="77825FE0" w14:textId="77777777" w:rsidR="004552D4" w:rsidRPr="004552D4" w:rsidRDefault="004552D4" w:rsidP="004552D4">
      <w:pPr>
        <w:pStyle w:val="ListParagraph"/>
        <w:rPr>
          <w:rFonts w:ascii="Times New Roman" w:hAnsi="Times New Roman"/>
          <w:bCs/>
        </w:rPr>
      </w:pPr>
    </w:p>
    <w:p w14:paraId="79AB6CE6" w14:textId="77777777" w:rsidR="004552D4" w:rsidRPr="004552D4" w:rsidRDefault="004552D4" w:rsidP="004552D4">
      <w:pPr>
        <w:pStyle w:val="ListParagraph"/>
        <w:numPr>
          <w:ilvl w:val="0"/>
          <w:numId w:val="10"/>
        </w:numPr>
        <w:jc w:val="both"/>
        <w:rPr>
          <w:rFonts w:ascii="Times New Roman" w:hAnsi="Times New Roman"/>
          <w:bCs/>
        </w:rPr>
      </w:pPr>
      <w:r w:rsidRPr="004552D4">
        <w:rPr>
          <w:rFonts w:ascii="Times New Roman" w:hAnsi="Times New Roman"/>
          <w:bCs/>
        </w:rPr>
        <w:t xml:space="preserve">the issuer has not defaulted in respect of the payment of statutory dues of the employees such as </w:t>
      </w:r>
    </w:p>
    <w:p w14:paraId="24088FD3" w14:textId="047E3E11" w:rsidR="004552D4" w:rsidRPr="004552D4" w:rsidRDefault="004552D4" w:rsidP="004552D4">
      <w:pPr>
        <w:pStyle w:val="ListParagraph"/>
        <w:jc w:val="both"/>
        <w:rPr>
          <w:rFonts w:ascii="Times New Roman" w:hAnsi="Times New Roman"/>
          <w:bCs/>
        </w:rPr>
      </w:pPr>
      <w:r w:rsidRPr="004552D4">
        <w:rPr>
          <w:rFonts w:ascii="Times New Roman" w:hAnsi="Times New Roman"/>
          <w:bCs/>
        </w:rPr>
        <w:t>contribution to provident fund, gratuity and bonus</w:t>
      </w:r>
      <w:r w:rsidR="00E7055E">
        <w:rPr>
          <w:rFonts w:ascii="Times New Roman" w:hAnsi="Times New Roman"/>
          <w:bCs/>
        </w:rPr>
        <w:t>.</w:t>
      </w:r>
    </w:p>
    <w:p w14:paraId="453A419B" w14:textId="77777777" w:rsidR="00C85241" w:rsidRPr="00C85241" w:rsidRDefault="00C85241" w:rsidP="00C85241">
      <w:pPr>
        <w:pStyle w:val="ListParagraph"/>
        <w:rPr>
          <w:rFonts w:ascii="Times New Roman" w:hAnsi="Times New Roman"/>
          <w:b/>
        </w:rPr>
      </w:pPr>
    </w:p>
    <w:p w14:paraId="2EC135D0" w14:textId="2A0A8E6C" w:rsidR="00C85241" w:rsidRPr="000F30A0" w:rsidRDefault="00C85241" w:rsidP="00686A47">
      <w:pPr>
        <w:pStyle w:val="ListParagraph"/>
        <w:numPr>
          <w:ilvl w:val="0"/>
          <w:numId w:val="10"/>
        </w:numPr>
        <w:jc w:val="both"/>
        <w:rPr>
          <w:rFonts w:ascii="Times New Roman" w:hAnsi="Times New Roman"/>
          <w:b/>
        </w:rPr>
      </w:pPr>
      <w:r w:rsidRPr="00E520C9">
        <w:rPr>
          <w:rFonts w:ascii="Times New Roman" w:hAnsi="Times New Roman"/>
          <w:bCs/>
          <w:sz w:val="21"/>
          <w:szCs w:val="21"/>
        </w:rPr>
        <w:lastRenderedPageBreak/>
        <w:t>The promoters or directors of the issuer is not fugitive economic offender as defined under Section 12 of the Fugitive Economic Offenders Act, 2018.</w:t>
      </w:r>
    </w:p>
    <w:p w14:paraId="0E8C303F" w14:textId="77777777" w:rsidR="00C8146C" w:rsidRPr="000F30A0" w:rsidRDefault="00C8146C" w:rsidP="00C8146C">
      <w:pPr>
        <w:spacing w:after="0"/>
        <w:rPr>
          <w:rFonts w:ascii="Times New Roman" w:hAnsi="Times New Roman"/>
          <w:b/>
        </w:rPr>
      </w:pPr>
      <w:r w:rsidRPr="000F30A0">
        <w:rPr>
          <w:rFonts w:ascii="Times New Roman" w:hAnsi="Times New Roman"/>
          <w:b/>
        </w:rPr>
        <w:t xml:space="preserve">          ___________________________________</w:t>
      </w:r>
    </w:p>
    <w:p w14:paraId="3323A359" w14:textId="77777777" w:rsidR="00C8146C" w:rsidRPr="000F30A0" w:rsidRDefault="00C8146C" w:rsidP="00C8146C">
      <w:pPr>
        <w:widowControl w:val="0"/>
        <w:spacing w:after="0"/>
        <w:ind w:left="426" w:right="-187"/>
        <w:jc w:val="both"/>
        <w:rPr>
          <w:rFonts w:ascii="Times New Roman" w:hAnsi="Times New Roman"/>
        </w:rPr>
      </w:pPr>
      <w:r w:rsidRPr="000F30A0">
        <w:rPr>
          <w:rFonts w:ascii="Times New Roman" w:hAnsi="Times New Roman"/>
        </w:rPr>
        <w:t>(Managing Director/ Company Secretary)</w:t>
      </w:r>
    </w:p>
    <w:p w14:paraId="793E6B97" w14:textId="77777777" w:rsidR="00C8146C" w:rsidRPr="000F30A0" w:rsidRDefault="00C8146C" w:rsidP="00C8146C">
      <w:pPr>
        <w:widowControl w:val="0"/>
        <w:ind w:left="426" w:right="-187"/>
        <w:jc w:val="both"/>
        <w:rPr>
          <w:rFonts w:ascii="Times New Roman" w:hAnsi="Times New Roman"/>
        </w:rPr>
      </w:pPr>
    </w:p>
    <w:p w14:paraId="6AB26D06" w14:textId="77777777" w:rsidR="00C8146C" w:rsidRPr="000F30A0" w:rsidRDefault="00C8146C" w:rsidP="00C8146C">
      <w:pPr>
        <w:widowControl w:val="0"/>
        <w:spacing w:after="0"/>
        <w:ind w:left="426" w:right="-187"/>
        <w:jc w:val="both"/>
        <w:rPr>
          <w:rFonts w:ascii="Times New Roman" w:hAnsi="Times New Roman"/>
        </w:rPr>
      </w:pPr>
      <w:r w:rsidRPr="000F30A0">
        <w:rPr>
          <w:rFonts w:ascii="Times New Roman" w:hAnsi="Times New Roman"/>
        </w:rPr>
        <w:t>Date:</w:t>
      </w:r>
    </w:p>
    <w:p w14:paraId="5A0D720B" w14:textId="77777777" w:rsidR="009D2F19" w:rsidRPr="000F30A0" w:rsidRDefault="00C8146C" w:rsidP="009D2F19">
      <w:pPr>
        <w:spacing w:after="0"/>
        <w:jc w:val="right"/>
        <w:rPr>
          <w:rFonts w:ascii="Times New Roman" w:hAnsi="Times New Roman"/>
          <w:b/>
        </w:rPr>
      </w:pPr>
      <w:r w:rsidRPr="000F30A0">
        <w:rPr>
          <w:rFonts w:ascii="Times New Roman" w:hAnsi="Times New Roman"/>
          <w:b/>
        </w:rPr>
        <w:br w:type="page"/>
      </w:r>
    </w:p>
    <w:tbl>
      <w:tblPr>
        <w:tblW w:w="8820" w:type="dxa"/>
        <w:tblLook w:val="04A0" w:firstRow="1" w:lastRow="0" w:firstColumn="1" w:lastColumn="0" w:noHBand="0" w:noVBand="1"/>
      </w:tblPr>
      <w:tblGrid>
        <w:gridCol w:w="3880"/>
        <w:gridCol w:w="1780"/>
        <w:gridCol w:w="1620"/>
        <w:gridCol w:w="1540"/>
      </w:tblGrid>
      <w:tr w:rsidR="009D2F19" w:rsidRPr="000F30A0" w14:paraId="48A14A48" w14:textId="77777777" w:rsidTr="009D2F19">
        <w:trPr>
          <w:trHeight w:val="330"/>
        </w:trPr>
        <w:tc>
          <w:tcPr>
            <w:tcW w:w="8820" w:type="dxa"/>
            <w:gridSpan w:val="4"/>
            <w:tcBorders>
              <w:top w:val="single" w:sz="8" w:space="0" w:color="auto"/>
              <w:left w:val="single" w:sz="8" w:space="0" w:color="auto"/>
              <w:bottom w:val="nil"/>
              <w:right w:val="single" w:sz="8" w:space="0" w:color="000000"/>
            </w:tcBorders>
            <w:shd w:val="clear" w:color="auto" w:fill="auto"/>
            <w:vAlign w:val="center"/>
            <w:hideMark/>
          </w:tcPr>
          <w:p w14:paraId="50DCFB4B" w14:textId="77777777" w:rsidR="009D2F19" w:rsidRPr="000F30A0" w:rsidRDefault="009D2F19" w:rsidP="009D2F19">
            <w:pPr>
              <w:spacing w:after="0" w:line="240" w:lineRule="auto"/>
              <w:jc w:val="center"/>
              <w:rPr>
                <w:rFonts w:ascii="Times New Roman" w:eastAsia="Times New Roman" w:hAnsi="Times New Roman"/>
                <w:b/>
                <w:bCs/>
                <w:color w:val="232323"/>
              </w:rPr>
            </w:pPr>
            <w:r w:rsidRPr="000F30A0">
              <w:rPr>
                <w:rFonts w:ascii="Times New Roman" w:eastAsia="Times New Roman" w:hAnsi="Times New Roman"/>
                <w:b/>
                <w:bCs/>
                <w:color w:val="232323"/>
              </w:rPr>
              <w:lastRenderedPageBreak/>
              <w:t>ANNEXURE II</w:t>
            </w:r>
          </w:p>
        </w:tc>
      </w:tr>
      <w:tr w:rsidR="009D2F19" w:rsidRPr="000F30A0" w14:paraId="4503FC06" w14:textId="77777777" w:rsidTr="009D2F19">
        <w:trPr>
          <w:trHeight w:val="495"/>
        </w:trPr>
        <w:tc>
          <w:tcPr>
            <w:tcW w:w="882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EAB846B" w14:textId="77777777" w:rsidR="009D2F19" w:rsidRPr="000F30A0" w:rsidRDefault="009D2F19" w:rsidP="009D2F19">
            <w:pPr>
              <w:spacing w:after="0" w:line="240" w:lineRule="auto"/>
              <w:jc w:val="center"/>
              <w:rPr>
                <w:rFonts w:ascii="Times New Roman" w:eastAsia="Times New Roman" w:hAnsi="Times New Roman"/>
                <w:b/>
                <w:bCs/>
                <w:color w:val="232323"/>
              </w:rPr>
            </w:pPr>
            <w:r w:rsidRPr="000F30A0">
              <w:rPr>
                <w:rFonts w:ascii="Times New Roman" w:eastAsia="Times New Roman" w:hAnsi="Times New Roman"/>
                <w:b/>
                <w:bCs/>
                <w:color w:val="232323"/>
              </w:rPr>
              <w:t>Format for Statement of total bonus entitlement</w:t>
            </w:r>
          </w:p>
        </w:tc>
      </w:tr>
      <w:tr w:rsidR="009D2F19" w:rsidRPr="000F30A0" w14:paraId="16DA6247" w14:textId="77777777" w:rsidTr="009D2F19">
        <w:trPr>
          <w:trHeight w:val="645"/>
        </w:trPr>
        <w:tc>
          <w:tcPr>
            <w:tcW w:w="3880" w:type="dxa"/>
            <w:tcBorders>
              <w:top w:val="nil"/>
              <w:left w:val="single" w:sz="8" w:space="0" w:color="auto"/>
              <w:bottom w:val="single" w:sz="8" w:space="0" w:color="auto"/>
              <w:right w:val="single" w:sz="8" w:space="0" w:color="auto"/>
            </w:tcBorders>
            <w:shd w:val="clear" w:color="auto" w:fill="auto"/>
            <w:vAlign w:val="center"/>
            <w:hideMark/>
          </w:tcPr>
          <w:p w14:paraId="44E85576" w14:textId="77777777" w:rsidR="009D2F19" w:rsidRPr="000F30A0" w:rsidRDefault="009D2F19" w:rsidP="009D2F19">
            <w:pPr>
              <w:spacing w:after="0" w:line="240" w:lineRule="auto"/>
              <w:rPr>
                <w:rFonts w:ascii="Times New Roman" w:eastAsia="Times New Roman" w:hAnsi="Times New Roman"/>
                <w:b/>
                <w:bCs/>
                <w:color w:val="000000"/>
              </w:rPr>
            </w:pPr>
            <w:r w:rsidRPr="000F30A0">
              <w:rPr>
                <w:rFonts w:ascii="Times New Roman" w:eastAsia="Times New Roman" w:hAnsi="Times New Roman"/>
                <w:b/>
                <w:bCs/>
                <w:color w:val="000000"/>
              </w:rPr>
              <w:t>Particulars</w:t>
            </w:r>
          </w:p>
        </w:tc>
        <w:tc>
          <w:tcPr>
            <w:tcW w:w="1780" w:type="dxa"/>
            <w:tcBorders>
              <w:top w:val="nil"/>
              <w:left w:val="nil"/>
              <w:bottom w:val="single" w:sz="8" w:space="0" w:color="auto"/>
              <w:right w:val="single" w:sz="8" w:space="0" w:color="auto"/>
            </w:tcBorders>
            <w:shd w:val="clear" w:color="auto" w:fill="auto"/>
            <w:vAlign w:val="center"/>
            <w:hideMark/>
          </w:tcPr>
          <w:p w14:paraId="20235D32" w14:textId="77777777" w:rsidR="009D2F19" w:rsidRPr="000F30A0" w:rsidRDefault="009D2F19" w:rsidP="009D2F19">
            <w:pPr>
              <w:spacing w:after="0" w:line="240" w:lineRule="auto"/>
              <w:jc w:val="center"/>
              <w:rPr>
                <w:rFonts w:ascii="Times New Roman" w:eastAsia="Times New Roman" w:hAnsi="Times New Roman"/>
                <w:b/>
                <w:bCs/>
                <w:color w:val="000000"/>
              </w:rPr>
            </w:pPr>
            <w:r w:rsidRPr="000F30A0">
              <w:rPr>
                <w:rFonts w:ascii="Times New Roman" w:eastAsia="Times New Roman" w:hAnsi="Times New Roman"/>
                <w:b/>
                <w:bCs/>
                <w:color w:val="000000"/>
              </w:rPr>
              <w:t>No. of shares</w:t>
            </w:r>
          </w:p>
        </w:tc>
        <w:tc>
          <w:tcPr>
            <w:tcW w:w="1620" w:type="dxa"/>
            <w:tcBorders>
              <w:top w:val="nil"/>
              <w:left w:val="nil"/>
              <w:bottom w:val="single" w:sz="8" w:space="0" w:color="auto"/>
              <w:right w:val="single" w:sz="8" w:space="0" w:color="auto"/>
            </w:tcBorders>
            <w:shd w:val="clear" w:color="auto" w:fill="auto"/>
            <w:vAlign w:val="center"/>
            <w:hideMark/>
          </w:tcPr>
          <w:p w14:paraId="07BB0C07" w14:textId="77777777" w:rsidR="009D2F19" w:rsidRPr="000F30A0" w:rsidRDefault="009D2F19" w:rsidP="009D2F19">
            <w:pPr>
              <w:spacing w:after="0" w:line="240" w:lineRule="auto"/>
              <w:jc w:val="center"/>
              <w:rPr>
                <w:rFonts w:ascii="Times New Roman" w:eastAsia="Times New Roman" w:hAnsi="Times New Roman"/>
                <w:b/>
                <w:bCs/>
                <w:color w:val="000000"/>
              </w:rPr>
            </w:pPr>
            <w:r w:rsidRPr="000F30A0">
              <w:rPr>
                <w:rFonts w:ascii="Times New Roman" w:eastAsia="Times New Roman" w:hAnsi="Times New Roman"/>
                <w:b/>
                <w:bCs/>
                <w:color w:val="000000"/>
              </w:rPr>
              <w:t>Face Value</w:t>
            </w:r>
          </w:p>
        </w:tc>
        <w:tc>
          <w:tcPr>
            <w:tcW w:w="1540" w:type="dxa"/>
            <w:tcBorders>
              <w:top w:val="nil"/>
              <w:left w:val="nil"/>
              <w:bottom w:val="single" w:sz="8" w:space="0" w:color="auto"/>
              <w:right w:val="single" w:sz="8" w:space="0" w:color="auto"/>
            </w:tcBorders>
            <w:shd w:val="clear" w:color="auto" w:fill="auto"/>
            <w:vAlign w:val="center"/>
            <w:hideMark/>
          </w:tcPr>
          <w:p w14:paraId="2DC9193F" w14:textId="77777777" w:rsidR="009D2F19" w:rsidRPr="000F30A0" w:rsidRDefault="009D2F19" w:rsidP="009D2F19">
            <w:pPr>
              <w:spacing w:after="0" w:line="240" w:lineRule="auto"/>
              <w:jc w:val="center"/>
              <w:rPr>
                <w:rFonts w:ascii="Times New Roman" w:eastAsia="Times New Roman" w:hAnsi="Times New Roman"/>
                <w:b/>
                <w:bCs/>
                <w:color w:val="000000"/>
              </w:rPr>
            </w:pPr>
            <w:r w:rsidRPr="000F30A0">
              <w:rPr>
                <w:rFonts w:ascii="Times New Roman" w:eastAsia="Times New Roman" w:hAnsi="Times New Roman"/>
                <w:b/>
                <w:bCs/>
                <w:color w:val="000000"/>
              </w:rPr>
              <w:t>Total Amount (in Rs. crore)</w:t>
            </w:r>
          </w:p>
        </w:tc>
      </w:tr>
      <w:tr w:rsidR="009D2F19" w:rsidRPr="000F30A0" w14:paraId="4BD40F18" w14:textId="77777777" w:rsidTr="009D2F19">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14:paraId="52F8EFD8" w14:textId="77777777" w:rsidR="009D2F19" w:rsidRPr="000F30A0" w:rsidRDefault="009D2F19" w:rsidP="009D2F19">
            <w:pPr>
              <w:spacing w:after="0" w:line="240" w:lineRule="auto"/>
              <w:rPr>
                <w:rFonts w:ascii="Times New Roman" w:eastAsia="Times New Roman" w:hAnsi="Times New Roman"/>
                <w:color w:val="000000"/>
              </w:rPr>
            </w:pPr>
            <w:r w:rsidRPr="000F30A0">
              <w:rPr>
                <w:rFonts w:ascii="Times New Roman" w:eastAsia="Times New Roman" w:hAnsi="Times New Roman"/>
                <w:color w:val="000000"/>
              </w:rPr>
              <w:t>Paid up Share capital before bonus</w:t>
            </w:r>
          </w:p>
        </w:tc>
        <w:tc>
          <w:tcPr>
            <w:tcW w:w="1780" w:type="dxa"/>
            <w:tcBorders>
              <w:top w:val="nil"/>
              <w:left w:val="nil"/>
              <w:bottom w:val="single" w:sz="8" w:space="0" w:color="auto"/>
              <w:right w:val="single" w:sz="8" w:space="0" w:color="auto"/>
            </w:tcBorders>
            <w:shd w:val="clear" w:color="auto" w:fill="auto"/>
            <w:vAlign w:val="center"/>
            <w:hideMark/>
          </w:tcPr>
          <w:p w14:paraId="33161832" w14:textId="77777777" w:rsidR="009D2F19" w:rsidRPr="000F30A0" w:rsidRDefault="009D2F19" w:rsidP="009D2F19">
            <w:pPr>
              <w:spacing w:after="0" w:line="240" w:lineRule="auto"/>
              <w:rPr>
                <w:rFonts w:ascii="Times New Roman" w:eastAsia="Times New Roman" w:hAnsi="Times New Roman"/>
                <w:color w:val="000000"/>
              </w:rPr>
            </w:pPr>
            <w:r w:rsidRPr="000F30A0">
              <w:rPr>
                <w:rFonts w:ascii="Times New Roman" w:eastAsia="Times New Roman" w:hAnsi="Times New Roman"/>
                <w:color w:val="000000"/>
              </w:rPr>
              <w:t> </w:t>
            </w:r>
          </w:p>
        </w:tc>
        <w:tc>
          <w:tcPr>
            <w:tcW w:w="1620" w:type="dxa"/>
            <w:tcBorders>
              <w:top w:val="nil"/>
              <w:left w:val="nil"/>
              <w:bottom w:val="single" w:sz="8" w:space="0" w:color="auto"/>
              <w:right w:val="single" w:sz="8" w:space="0" w:color="auto"/>
            </w:tcBorders>
            <w:shd w:val="clear" w:color="auto" w:fill="auto"/>
            <w:vAlign w:val="center"/>
            <w:hideMark/>
          </w:tcPr>
          <w:p w14:paraId="71AB1120" w14:textId="77777777" w:rsidR="009D2F19" w:rsidRPr="000F30A0" w:rsidRDefault="009D2F19" w:rsidP="009D2F19">
            <w:pPr>
              <w:spacing w:after="0" w:line="240" w:lineRule="auto"/>
              <w:rPr>
                <w:rFonts w:ascii="Times New Roman" w:eastAsia="Times New Roman" w:hAnsi="Times New Roman"/>
                <w:color w:val="000000"/>
              </w:rPr>
            </w:pPr>
            <w:r w:rsidRPr="000F30A0">
              <w:rPr>
                <w:rFonts w:ascii="Times New Roman" w:eastAsia="Times New Roman" w:hAnsi="Times New Roman"/>
                <w:color w:val="000000"/>
              </w:rPr>
              <w:t> </w:t>
            </w:r>
          </w:p>
        </w:tc>
        <w:tc>
          <w:tcPr>
            <w:tcW w:w="1540" w:type="dxa"/>
            <w:tcBorders>
              <w:top w:val="nil"/>
              <w:left w:val="nil"/>
              <w:bottom w:val="single" w:sz="8" w:space="0" w:color="auto"/>
              <w:right w:val="single" w:sz="8" w:space="0" w:color="auto"/>
            </w:tcBorders>
            <w:shd w:val="clear" w:color="auto" w:fill="auto"/>
            <w:vAlign w:val="center"/>
            <w:hideMark/>
          </w:tcPr>
          <w:p w14:paraId="4ABCE618" w14:textId="77777777" w:rsidR="009D2F19" w:rsidRPr="000F30A0" w:rsidRDefault="009D2F19" w:rsidP="009D2F19">
            <w:pPr>
              <w:spacing w:after="0" w:line="240" w:lineRule="auto"/>
              <w:rPr>
                <w:rFonts w:ascii="Times New Roman" w:eastAsia="Times New Roman" w:hAnsi="Times New Roman"/>
                <w:b/>
                <w:bCs/>
                <w:color w:val="000000"/>
              </w:rPr>
            </w:pPr>
            <w:r w:rsidRPr="000F30A0">
              <w:rPr>
                <w:rFonts w:ascii="Times New Roman" w:eastAsia="Times New Roman" w:hAnsi="Times New Roman"/>
                <w:b/>
                <w:bCs/>
                <w:color w:val="000000"/>
              </w:rPr>
              <w:t> </w:t>
            </w:r>
          </w:p>
        </w:tc>
      </w:tr>
      <w:tr w:rsidR="009D2F19" w:rsidRPr="000F30A0" w14:paraId="4EBA313E" w14:textId="77777777" w:rsidTr="009D2F19">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14:paraId="2153E689" w14:textId="77777777" w:rsidR="009D2F19" w:rsidRPr="000F30A0" w:rsidRDefault="009D2F19" w:rsidP="009D2F19">
            <w:pPr>
              <w:spacing w:after="0" w:line="240" w:lineRule="auto"/>
              <w:rPr>
                <w:rFonts w:ascii="Times New Roman" w:eastAsia="Times New Roman" w:hAnsi="Times New Roman"/>
                <w:color w:val="000000"/>
              </w:rPr>
            </w:pPr>
            <w:r w:rsidRPr="000F30A0">
              <w:rPr>
                <w:rFonts w:ascii="Times New Roman" w:eastAsia="Times New Roman" w:hAnsi="Times New Roman"/>
                <w:color w:val="000000"/>
              </w:rPr>
              <w:t>Shares kept in abeyance before bonus</w:t>
            </w:r>
          </w:p>
        </w:tc>
        <w:tc>
          <w:tcPr>
            <w:tcW w:w="1780" w:type="dxa"/>
            <w:tcBorders>
              <w:top w:val="nil"/>
              <w:left w:val="nil"/>
              <w:bottom w:val="single" w:sz="8" w:space="0" w:color="auto"/>
              <w:right w:val="single" w:sz="8" w:space="0" w:color="auto"/>
            </w:tcBorders>
            <w:shd w:val="clear" w:color="auto" w:fill="auto"/>
            <w:vAlign w:val="center"/>
            <w:hideMark/>
          </w:tcPr>
          <w:p w14:paraId="2ABFCEF1" w14:textId="77777777" w:rsidR="009D2F19" w:rsidRPr="000F30A0" w:rsidRDefault="009D2F19" w:rsidP="009D2F19">
            <w:pPr>
              <w:spacing w:after="0" w:line="240" w:lineRule="auto"/>
              <w:rPr>
                <w:rFonts w:ascii="Times New Roman" w:eastAsia="Times New Roman" w:hAnsi="Times New Roman"/>
                <w:color w:val="000000"/>
              </w:rPr>
            </w:pPr>
            <w:r w:rsidRPr="000F30A0">
              <w:rPr>
                <w:rFonts w:ascii="Times New Roman" w:eastAsia="Times New Roman" w:hAnsi="Times New Roman"/>
                <w:color w:val="000000"/>
              </w:rPr>
              <w:t> </w:t>
            </w:r>
          </w:p>
        </w:tc>
        <w:tc>
          <w:tcPr>
            <w:tcW w:w="1620" w:type="dxa"/>
            <w:tcBorders>
              <w:top w:val="nil"/>
              <w:left w:val="nil"/>
              <w:bottom w:val="single" w:sz="8" w:space="0" w:color="auto"/>
              <w:right w:val="single" w:sz="8" w:space="0" w:color="auto"/>
            </w:tcBorders>
            <w:shd w:val="clear" w:color="auto" w:fill="auto"/>
            <w:vAlign w:val="center"/>
            <w:hideMark/>
          </w:tcPr>
          <w:p w14:paraId="1B72BDBB" w14:textId="77777777" w:rsidR="009D2F19" w:rsidRPr="000F30A0" w:rsidRDefault="009D2F19" w:rsidP="009D2F19">
            <w:pPr>
              <w:spacing w:after="0" w:line="240" w:lineRule="auto"/>
              <w:rPr>
                <w:rFonts w:ascii="Times New Roman" w:eastAsia="Times New Roman" w:hAnsi="Times New Roman"/>
                <w:color w:val="000000"/>
              </w:rPr>
            </w:pPr>
            <w:r w:rsidRPr="000F30A0">
              <w:rPr>
                <w:rFonts w:ascii="Times New Roman" w:eastAsia="Times New Roman" w:hAnsi="Times New Roman"/>
                <w:color w:val="000000"/>
              </w:rPr>
              <w:t> </w:t>
            </w:r>
          </w:p>
        </w:tc>
        <w:tc>
          <w:tcPr>
            <w:tcW w:w="1540" w:type="dxa"/>
            <w:tcBorders>
              <w:top w:val="nil"/>
              <w:left w:val="nil"/>
              <w:bottom w:val="single" w:sz="8" w:space="0" w:color="auto"/>
              <w:right w:val="single" w:sz="8" w:space="0" w:color="auto"/>
            </w:tcBorders>
            <w:shd w:val="clear" w:color="auto" w:fill="auto"/>
            <w:vAlign w:val="center"/>
            <w:hideMark/>
          </w:tcPr>
          <w:p w14:paraId="1BE58208" w14:textId="77777777" w:rsidR="009D2F19" w:rsidRPr="000F30A0" w:rsidRDefault="009D2F19" w:rsidP="009D2F19">
            <w:pPr>
              <w:spacing w:after="0" w:line="240" w:lineRule="auto"/>
              <w:rPr>
                <w:rFonts w:ascii="Times New Roman" w:eastAsia="Times New Roman" w:hAnsi="Times New Roman"/>
                <w:color w:val="000000"/>
              </w:rPr>
            </w:pPr>
            <w:r w:rsidRPr="000F30A0">
              <w:rPr>
                <w:rFonts w:ascii="Times New Roman" w:eastAsia="Times New Roman" w:hAnsi="Times New Roman"/>
                <w:color w:val="000000"/>
              </w:rPr>
              <w:t> </w:t>
            </w:r>
          </w:p>
        </w:tc>
      </w:tr>
      <w:tr w:rsidR="009D2F19" w:rsidRPr="000F30A0" w14:paraId="75F0B5AD" w14:textId="77777777" w:rsidTr="009D2F19">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14:paraId="57FFE42D" w14:textId="77777777" w:rsidR="009D2F19" w:rsidRPr="000F30A0" w:rsidRDefault="009D2F19" w:rsidP="009D2F19">
            <w:pPr>
              <w:spacing w:after="0" w:line="240" w:lineRule="auto"/>
              <w:rPr>
                <w:rFonts w:ascii="Times New Roman" w:eastAsia="Times New Roman" w:hAnsi="Times New Roman"/>
                <w:color w:val="000000"/>
              </w:rPr>
            </w:pPr>
            <w:r w:rsidRPr="000F30A0">
              <w:rPr>
                <w:rFonts w:ascii="Times New Roman" w:eastAsia="Times New Roman" w:hAnsi="Times New Roman"/>
                <w:color w:val="000000"/>
              </w:rPr>
              <w:t>Govt. holding before Bonus</w:t>
            </w:r>
          </w:p>
        </w:tc>
        <w:tc>
          <w:tcPr>
            <w:tcW w:w="1780" w:type="dxa"/>
            <w:tcBorders>
              <w:top w:val="nil"/>
              <w:left w:val="nil"/>
              <w:bottom w:val="single" w:sz="8" w:space="0" w:color="auto"/>
              <w:right w:val="single" w:sz="8" w:space="0" w:color="auto"/>
            </w:tcBorders>
            <w:shd w:val="clear" w:color="auto" w:fill="auto"/>
            <w:vAlign w:val="center"/>
            <w:hideMark/>
          </w:tcPr>
          <w:p w14:paraId="0EE16539" w14:textId="77777777" w:rsidR="009D2F19" w:rsidRPr="000F30A0" w:rsidRDefault="009D2F19" w:rsidP="009D2F19">
            <w:pPr>
              <w:spacing w:after="0" w:line="240" w:lineRule="auto"/>
              <w:rPr>
                <w:rFonts w:ascii="Times New Roman" w:eastAsia="Times New Roman" w:hAnsi="Times New Roman"/>
                <w:color w:val="000000"/>
              </w:rPr>
            </w:pPr>
            <w:r w:rsidRPr="000F30A0">
              <w:rPr>
                <w:rFonts w:ascii="Times New Roman" w:eastAsia="Times New Roman" w:hAnsi="Times New Roman"/>
                <w:color w:val="000000"/>
              </w:rPr>
              <w:t> </w:t>
            </w:r>
          </w:p>
        </w:tc>
        <w:tc>
          <w:tcPr>
            <w:tcW w:w="1620" w:type="dxa"/>
            <w:tcBorders>
              <w:top w:val="nil"/>
              <w:left w:val="nil"/>
              <w:bottom w:val="single" w:sz="8" w:space="0" w:color="auto"/>
              <w:right w:val="single" w:sz="8" w:space="0" w:color="auto"/>
            </w:tcBorders>
            <w:shd w:val="clear" w:color="auto" w:fill="auto"/>
            <w:vAlign w:val="center"/>
            <w:hideMark/>
          </w:tcPr>
          <w:p w14:paraId="77F4EB22" w14:textId="77777777" w:rsidR="009D2F19" w:rsidRPr="000F30A0" w:rsidRDefault="009D2F19" w:rsidP="009D2F19">
            <w:pPr>
              <w:spacing w:after="0" w:line="240" w:lineRule="auto"/>
              <w:rPr>
                <w:rFonts w:ascii="Times New Roman" w:eastAsia="Times New Roman" w:hAnsi="Times New Roman"/>
                <w:color w:val="000000"/>
              </w:rPr>
            </w:pPr>
            <w:r w:rsidRPr="000F30A0">
              <w:rPr>
                <w:rFonts w:ascii="Times New Roman" w:eastAsia="Times New Roman" w:hAnsi="Times New Roman"/>
                <w:color w:val="000000"/>
              </w:rPr>
              <w:t> </w:t>
            </w:r>
          </w:p>
        </w:tc>
        <w:tc>
          <w:tcPr>
            <w:tcW w:w="1540" w:type="dxa"/>
            <w:tcBorders>
              <w:top w:val="nil"/>
              <w:left w:val="nil"/>
              <w:bottom w:val="single" w:sz="8" w:space="0" w:color="auto"/>
              <w:right w:val="single" w:sz="8" w:space="0" w:color="auto"/>
            </w:tcBorders>
            <w:shd w:val="clear" w:color="auto" w:fill="auto"/>
            <w:vAlign w:val="center"/>
            <w:hideMark/>
          </w:tcPr>
          <w:p w14:paraId="09ED76BC" w14:textId="77777777" w:rsidR="009D2F19" w:rsidRPr="000F30A0" w:rsidRDefault="009D2F19" w:rsidP="009D2F19">
            <w:pPr>
              <w:spacing w:after="0" w:line="240" w:lineRule="auto"/>
              <w:rPr>
                <w:rFonts w:ascii="Times New Roman" w:eastAsia="Times New Roman" w:hAnsi="Times New Roman"/>
                <w:color w:val="000000"/>
              </w:rPr>
            </w:pPr>
            <w:r w:rsidRPr="000F30A0">
              <w:rPr>
                <w:rFonts w:ascii="Times New Roman" w:eastAsia="Times New Roman" w:hAnsi="Times New Roman"/>
                <w:color w:val="000000"/>
              </w:rPr>
              <w:t> </w:t>
            </w:r>
          </w:p>
        </w:tc>
      </w:tr>
      <w:tr w:rsidR="009D2F19" w:rsidRPr="000F30A0" w14:paraId="16A173D2" w14:textId="77777777" w:rsidTr="009D2F19">
        <w:trPr>
          <w:trHeight w:val="630"/>
        </w:trPr>
        <w:tc>
          <w:tcPr>
            <w:tcW w:w="3880" w:type="dxa"/>
            <w:tcBorders>
              <w:top w:val="nil"/>
              <w:left w:val="single" w:sz="8" w:space="0" w:color="auto"/>
              <w:bottom w:val="nil"/>
              <w:right w:val="single" w:sz="8" w:space="0" w:color="auto"/>
            </w:tcBorders>
            <w:shd w:val="clear" w:color="auto" w:fill="auto"/>
            <w:vAlign w:val="center"/>
            <w:hideMark/>
          </w:tcPr>
          <w:p w14:paraId="2E76B492" w14:textId="77777777" w:rsidR="009D2F19" w:rsidRPr="000F30A0" w:rsidRDefault="009D2F19" w:rsidP="009D2F19">
            <w:pPr>
              <w:spacing w:after="0" w:line="240" w:lineRule="auto"/>
              <w:rPr>
                <w:rFonts w:ascii="Times New Roman" w:eastAsia="Times New Roman" w:hAnsi="Times New Roman"/>
                <w:color w:val="000000"/>
              </w:rPr>
            </w:pPr>
            <w:r w:rsidRPr="000F30A0">
              <w:rPr>
                <w:rFonts w:ascii="Times New Roman" w:eastAsia="Times New Roman" w:hAnsi="Times New Roman"/>
                <w:color w:val="000000"/>
              </w:rPr>
              <w:t>Shares to be issued pursuant to bonus in the ratio</w:t>
            </w:r>
          </w:p>
        </w:tc>
        <w:tc>
          <w:tcPr>
            <w:tcW w:w="1780" w:type="dxa"/>
            <w:vMerge w:val="restart"/>
            <w:tcBorders>
              <w:top w:val="nil"/>
              <w:left w:val="single" w:sz="8" w:space="0" w:color="auto"/>
              <w:bottom w:val="single" w:sz="8" w:space="0" w:color="000000"/>
              <w:right w:val="single" w:sz="8" w:space="0" w:color="auto"/>
            </w:tcBorders>
            <w:shd w:val="clear" w:color="auto" w:fill="auto"/>
            <w:vAlign w:val="center"/>
            <w:hideMark/>
          </w:tcPr>
          <w:p w14:paraId="1AFA0F4C" w14:textId="77777777" w:rsidR="009D2F19" w:rsidRPr="000F30A0" w:rsidRDefault="009D2F19" w:rsidP="009D2F19">
            <w:pPr>
              <w:spacing w:after="0" w:line="240" w:lineRule="auto"/>
              <w:rPr>
                <w:rFonts w:ascii="Times New Roman" w:eastAsia="Times New Roman" w:hAnsi="Times New Roman"/>
                <w:color w:val="000000"/>
              </w:rPr>
            </w:pPr>
            <w:r w:rsidRPr="000F30A0">
              <w:rPr>
                <w:rFonts w:ascii="Times New Roman" w:eastAsia="Times New Roman" w:hAnsi="Times New Roman"/>
                <w:color w:val="000000"/>
              </w:rPr>
              <w:t> </w:t>
            </w:r>
          </w:p>
        </w:tc>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14:paraId="06298A50" w14:textId="77777777" w:rsidR="009D2F19" w:rsidRPr="000F30A0" w:rsidRDefault="009D2F19" w:rsidP="009D2F19">
            <w:pPr>
              <w:spacing w:after="0" w:line="240" w:lineRule="auto"/>
              <w:rPr>
                <w:rFonts w:ascii="Times New Roman" w:eastAsia="Times New Roman" w:hAnsi="Times New Roman"/>
                <w:color w:val="000000"/>
              </w:rPr>
            </w:pPr>
            <w:r w:rsidRPr="000F30A0">
              <w:rPr>
                <w:rFonts w:ascii="Times New Roman" w:eastAsia="Times New Roman" w:hAnsi="Times New Roman"/>
                <w:color w:val="000000"/>
              </w:rPr>
              <w:t> </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02ABDF48" w14:textId="77777777" w:rsidR="009D2F19" w:rsidRPr="000F30A0" w:rsidRDefault="009D2F19" w:rsidP="009D2F19">
            <w:pPr>
              <w:spacing w:after="0" w:line="240" w:lineRule="auto"/>
              <w:rPr>
                <w:rFonts w:ascii="Times New Roman" w:eastAsia="Times New Roman" w:hAnsi="Times New Roman"/>
                <w:color w:val="000000"/>
              </w:rPr>
            </w:pPr>
            <w:r w:rsidRPr="000F30A0">
              <w:rPr>
                <w:rFonts w:ascii="Times New Roman" w:eastAsia="Times New Roman" w:hAnsi="Times New Roman"/>
                <w:color w:val="000000"/>
              </w:rPr>
              <w:t> </w:t>
            </w:r>
          </w:p>
        </w:tc>
      </w:tr>
      <w:tr w:rsidR="009D2F19" w:rsidRPr="000F30A0" w14:paraId="13A8803B" w14:textId="77777777" w:rsidTr="009D2F19">
        <w:trPr>
          <w:trHeight w:val="1275"/>
        </w:trPr>
        <w:tc>
          <w:tcPr>
            <w:tcW w:w="3880" w:type="dxa"/>
            <w:tcBorders>
              <w:top w:val="nil"/>
              <w:left w:val="single" w:sz="8" w:space="0" w:color="auto"/>
              <w:bottom w:val="single" w:sz="8" w:space="0" w:color="auto"/>
              <w:right w:val="single" w:sz="8" w:space="0" w:color="auto"/>
            </w:tcBorders>
            <w:shd w:val="clear" w:color="auto" w:fill="auto"/>
            <w:vAlign w:val="center"/>
            <w:hideMark/>
          </w:tcPr>
          <w:p w14:paraId="4AE50EA4" w14:textId="77777777" w:rsidR="009D2F19" w:rsidRPr="000F30A0" w:rsidRDefault="009D2F19" w:rsidP="009D2F19">
            <w:pPr>
              <w:spacing w:after="0" w:line="240" w:lineRule="auto"/>
              <w:rPr>
                <w:rFonts w:ascii="Times New Roman" w:eastAsia="Times New Roman" w:hAnsi="Times New Roman"/>
                <w:color w:val="000000"/>
              </w:rPr>
            </w:pPr>
            <w:r w:rsidRPr="000F30A0">
              <w:rPr>
                <w:rFonts w:ascii="Times New Roman" w:eastAsia="Times New Roman" w:hAnsi="Times New Roman"/>
                <w:color w:val="000000"/>
              </w:rPr>
              <w:t>(</w:t>
            </w:r>
            <w:proofErr w:type="spellStart"/>
            <w:r w:rsidRPr="000F30A0">
              <w:rPr>
                <w:rFonts w:ascii="Times New Roman" w:eastAsia="Times New Roman" w:hAnsi="Times New Roman"/>
                <w:color w:val="000000"/>
              </w:rPr>
              <w:t>Eg</w:t>
            </w:r>
            <w:proofErr w:type="spellEnd"/>
            <w:r w:rsidRPr="000F30A0">
              <w:rPr>
                <w:rFonts w:ascii="Times New Roman" w:eastAsia="Times New Roman" w:hAnsi="Times New Roman"/>
                <w:color w:val="000000"/>
              </w:rPr>
              <w:t>: 1:2  i.e. _1_(One) bonus equity share of Rs. 2/- each fully paid –up for every 2_(Two) existing equity share of Rs. 2/- each fully paid-up)</w:t>
            </w:r>
          </w:p>
        </w:tc>
        <w:tc>
          <w:tcPr>
            <w:tcW w:w="1780" w:type="dxa"/>
            <w:vMerge/>
            <w:tcBorders>
              <w:top w:val="nil"/>
              <w:left w:val="single" w:sz="8" w:space="0" w:color="auto"/>
              <w:bottom w:val="single" w:sz="8" w:space="0" w:color="000000"/>
              <w:right w:val="single" w:sz="8" w:space="0" w:color="auto"/>
            </w:tcBorders>
            <w:vAlign w:val="center"/>
            <w:hideMark/>
          </w:tcPr>
          <w:p w14:paraId="506F81C5" w14:textId="77777777" w:rsidR="009D2F19" w:rsidRPr="000F30A0" w:rsidRDefault="009D2F19" w:rsidP="009D2F19">
            <w:pPr>
              <w:spacing w:after="0" w:line="240" w:lineRule="auto"/>
              <w:rPr>
                <w:rFonts w:ascii="Times New Roman" w:eastAsia="Times New Roman" w:hAnsi="Times New Roman"/>
                <w:color w:val="000000"/>
              </w:rPr>
            </w:pPr>
          </w:p>
        </w:tc>
        <w:tc>
          <w:tcPr>
            <w:tcW w:w="1620" w:type="dxa"/>
            <w:vMerge/>
            <w:tcBorders>
              <w:top w:val="nil"/>
              <w:left w:val="single" w:sz="8" w:space="0" w:color="auto"/>
              <w:bottom w:val="single" w:sz="8" w:space="0" w:color="000000"/>
              <w:right w:val="single" w:sz="8" w:space="0" w:color="auto"/>
            </w:tcBorders>
            <w:vAlign w:val="center"/>
            <w:hideMark/>
          </w:tcPr>
          <w:p w14:paraId="60D23463" w14:textId="77777777" w:rsidR="009D2F19" w:rsidRPr="000F30A0" w:rsidRDefault="009D2F19" w:rsidP="009D2F19">
            <w:pPr>
              <w:spacing w:after="0" w:line="240" w:lineRule="auto"/>
              <w:rPr>
                <w:rFonts w:ascii="Times New Roman" w:eastAsia="Times New Roman" w:hAnsi="Times New Roman"/>
                <w:color w:val="000000"/>
              </w:rPr>
            </w:pPr>
          </w:p>
        </w:tc>
        <w:tc>
          <w:tcPr>
            <w:tcW w:w="1540" w:type="dxa"/>
            <w:vMerge/>
            <w:tcBorders>
              <w:top w:val="nil"/>
              <w:left w:val="single" w:sz="8" w:space="0" w:color="auto"/>
              <w:bottom w:val="single" w:sz="8" w:space="0" w:color="000000"/>
              <w:right w:val="single" w:sz="8" w:space="0" w:color="auto"/>
            </w:tcBorders>
            <w:vAlign w:val="center"/>
            <w:hideMark/>
          </w:tcPr>
          <w:p w14:paraId="7B30A14A" w14:textId="77777777" w:rsidR="009D2F19" w:rsidRPr="000F30A0" w:rsidRDefault="009D2F19" w:rsidP="009D2F19">
            <w:pPr>
              <w:spacing w:after="0" w:line="240" w:lineRule="auto"/>
              <w:rPr>
                <w:rFonts w:ascii="Times New Roman" w:eastAsia="Times New Roman" w:hAnsi="Times New Roman"/>
                <w:color w:val="000000"/>
              </w:rPr>
            </w:pPr>
          </w:p>
        </w:tc>
      </w:tr>
      <w:tr w:rsidR="009D2F19" w:rsidRPr="000F30A0" w14:paraId="358A81D9" w14:textId="77777777" w:rsidTr="009D2F19">
        <w:trPr>
          <w:trHeight w:val="645"/>
        </w:trPr>
        <w:tc>
          <w:tcPr>
            <w:tcW w:w="3880" w:type="dxa"/>
            <w:tcBorders>
              <w:top w:val="nil"/>
              <w:left w:val="single" w:sz="8" w:space="0" w:color="auto"/>
              <w:bottom w:val="single" w:sz="8" w:space="0" w:color="auto"/>
              <w:right w:val="single" w:sz="8" w:space="0" w:color="auto"/>
            </w:tcBorders>
            <w:shd w:val="clear" w:color="auto" w:fill="auto"/>
            <w:vAlign w:val="center"/>
            <w:hideMark/>
          </w:tcPr>
          <w:p w14:paraId="424C2416" w14:textId="77777777" w:rsidR="009D2F19" w:rsidRPr="000F30A0" w:rsidRDefault="009D2F19" w:rsidP="009D2F19">
            <w:pPr>
              <w:spacing w:after="0" w:line="240" w:lineRule="auto"/>
              <w:rPr>
                <w:rFonts w:ascii="Times New Roman" w:eastAsia="Times New Roman" w:hAnsi="Times New Roman"/>
                <w:color w:val="000000"/>
              </w:rPr>
            </w:pPr>
            <w:r w:rsidRPr="000F30A0">
              <w:rPr>
                <w:rFonts w:ascii="Times New Roman" w:eastAsia="Times New Roman" w:hAnsi="Times New Roman"/>
                <w:color w:val="000000"/>
              </w:rPr>
              <w:t>Total Paid up Share capital after Bonus Issue</w:t>
            </w:r>
          </w:p>
        </w:tc>
        <w:tc>
          <w:tcPr>
            <w:tcW w:w="1780" w:type="dxa"/>
            <w:tcBorders>
              <w:top w:val="nil"/>
              <w:left w:val="nil"/>
              <w:bottom w:val="single" w:sz="8" w:space="0" w:color="auto"/>
              <w:right w:val="single" w:sz="8" w:space="0" w:color="auto"/>
            </w:tcBorders>
            <w:shd w:val="clear" w:color="auto" w:fill="auto"/>
            <w:vAlign w:val="center"/>
            <w:hideMark/>
          </w:tcPr>
          <w:p w14:paraId="7E1132DC" w14:textId="77777777" w:rsidR="009D2F19" w:rsidRPr="000F30A0" w:rsidRDefault="009D2F19" w:rsidP="009D2F19">
            <w:pPr>
              <w:spacing w:after="0" w:line="240" w:lineRule="auto"/>
              <w:rPr>
                <w:rFonts w:ascii="Times New Roman" w:eastAsia="Times New Roman" w:hAnsi="Times New Roman"/>
                <w:color w:val="000000"/>
              </w:rPr>
            </w:pPr>
            <w:r w:rsidRPr="000F30A0">
              <w:rPr>
                <w:rFonts w:ascii="Times New Roman" w:eastAsia="Times New Roman" w:hAnsi="Times New Roman"/>
                <w:color w:val="000000"/>
              </w:rPr>
              <w:t> </w:t>
            </w:r>
          </w:p>
        </w:tc>
        <w:tc>
          <w:tcPr>
            <w:tcW w:w="1620" w:type="dxa"/>
            <w:tcBorders>
              <w:top w:val="nil"/>
              <w:left w:val="nil"/>
              <w:bottom w:val="single" w:sz="8" w:space="0" w:color="auto"/>
              <w:right w:val="single" w:sz="8" w:space="0" w:color="auto"/>
            </w:tcBorders>
            <w:shd w:val="clear" w:color="auto" w:fill="auto"/>
            <w:vAlign w:val="center"/>
            <w:hideMark/>
          </w:tcPr>
          <w:p w14:paraId="74D91E13" w14:textId="77777777" w:rsidR="009D2F19" w:rsidRPr="000F30A0" w:rsidRDefault="009D2F19" w:rsidP="009D2F19">
            <w:pPr>
              <w:spacing w:after="0" w:line="240" w:lineRule="auto"/>
              <w:rPr>
                <w:rFonts w:ascii="Times New Roman" w:eastAsia="Times New Roman" w:hAnsi="Times New Roman"/>
                <w:color w:val="000000"/>
              </w:rPr>
            </w:pPr>
            <w:r w:rsidRPr="000F30A0">
              <w:rPr>
                <w:rFonts w:ascii="Times New Roman" w:eastAsia="Times New Roman" w:hAnsi="Times New Roman"/>
                <w:color w:val="000000"/>
              </w:rPr>
              <w:t> </w:t>
            </w:r>
          </w:p>
        </w:tc>
        <w:tc>
          <w:tcPr>
            <w:tcW w:w="1540" w:type="dxa"/>
            <w:tcBorders>
              <w:top w:val="nil"/>
              <w:left w:val="nil"/>
              <w:bottom w:val="single" w:sz="8" w:space="0" w:color="auto"/>
              <w:right w:val="single" w:sz="8" w:space="0" w:color="auto"/>
            </w:tcBorders>
            <w:shd w:val="clear" w:color="auto" w:fill="auto"/>
            <w:vAlign w:val="center"/>
            <w:hideMark/>
          </w:tcPr>
          <w:p w14:paraId="4863BE5B" w14:textId="77777777" w:rsidR="009D2F19" w:rsidRPr="000F30A0" w:rsidRDefault="009D2F19" w:rsidP="009D2F19">
            <w:pPr>
              <w:spacing w:after="0" w:line="240" w:lineRule="auto"/>
              <w:rPr>
                <w:rFonts w:ascii="Times New Roman" w:eastAsia="Times New Roman" w:hAnsi="Times New Roman"/>
                <w:color w:val="000000"/>
              </w:rPr>
            </w:pPr>
            <w:r w:rsidRPr="000F30A0">
              <w:rPr>
                <w:rFonts w:ascii="Times New Roman" w:eastAsia="Times New Roman" w:hAnsi="Times New Roman"/>
                <w:color w:val="000000"/>
              </w:rPr>
              <w:t> </w:t>
            </w:r>
          </w:p>
        </w:tc>
      </w:tr>
      <w:tr w:rsidR="009D2F19" w:rsidRPr="000F30A0" w14:paraId="0F74633F" w14:textId="77777777" w:rsidTr="009D2F19">
        <w:trPr>
          <w:trHeight w:val="645"/>
        </w:trPr>
        <w:tc>
          <w:tcPr>
            <w:tcW w:w="3880" w:type="dxa"/>
            <w:tcBorders>
              <w:top w:val="nil"/>
              <w:left w:val="single" w:sz="8" w:space="0" w:color="auto"/>
              <w:bottom w:val="single" w:sz="8" w:space="0" w:color="auto"/>
              <w:right w:val="single" w:sz="8" w:space="0" w:color="auto"/>
            </w:tcBorders>
            <w:shd w:val="clear" w:color="auto" w:fill="auto"/>
            <w:vAlign w:val="center"/>
            <w:hideMark/>
          </w:tcPr>
          <w:p w14:paraId="1DA4450A" w14:textId="77777777" w:rsidR="009D2F19" w:rsidRPr="000F30A0" w:rsidRDefault="009D2F19" w:rsidP="009D2F19">
            <w:pPr>
              <w:spacing w:after="0" w:line="240" w:lineRule="auto"/>
              <w:rPr>
                <w:rFonts w:ascii="Times New Roman" w:eastAsia="Times New Roman" w:hAnsi="Times New Roman"/>
                <w:color w:val="000000"/>
              </w:rPr>
            </w:pPr>
            <w:r w:rsidRPr="000F30A0">
              <w:rPr>
                <w:rFonts w:ascii="Times New Roman" w:eastAsia="Times New Roman" w:hAnsi="Times New Roman"/>
                <w:color w:val="000000"/>
              </w:rPr>
              <w:t>Shares to be kept in abeyance after Bonus Issue</w:t>
            </w:r>
          </w:p>
        </w:tc>
        <w:tc>
          <w:tcPr>
            <w:tcW w:w="1780" w:type="dxa"/>
            <w:tcBorders>
              <w:top w:val="nil"/>
              <w:left w:val="nil"/>
              <w:bottom w:val="single" w:sz="8" w:space="0" w:color="auto"/>
              <w:right w:val="single" w:sz="8" w:space="0" w:color="auto"/>
            </w:tcBorders>
            <w:shd w:val="clear" w:color="auto" w:fill="auto"/>
            <w:vAlign w:val="center"/>
            <w:hideMark/>
          </w:tcPr>
          <w:p w14:paraId="41F956FE" w14:textId="77777777" w:rsidR="009D2F19" w:rsidRPr="000F30A0" w:rsidRDefault="009D2F19" w:rsidP="009D2F19">
            <w:pPr>
              <w:spacing w:after="0" w:line="240" w:lineRule="auto"/>
              <w:rPr>
                <w:rFonts w:ascii="Times New Roman" w:eastAsia="Times New Roman" w:hAnsi="Times New Roman"/>
                <w:color w:val="000000"/>
              </w:rPr>
            </w:pPr>
            <w:r w:rsidRPr="000F30A0">
              <w:rPr>
                <w:rFonts w:ascii="Times New Roman" w:eastAsia="Times New Roman" w:hAnsi="Times New Roman"/>
                <w:color w:val="000000"/>
              </w:rPr>
              <w:t> </w:t>
            </w:r>
          </w:p>
        </w:tc>
        <w:tc>
          <w:tcPr>
            <w:tcW w:w="1620" w:type="dxa"/>
            <w:tcBorders>
              <w:top w:val="nil"/>
              <w:left w:val="nil"/>
              <w:bottom w:val="single" w:sz="8" w:space="0" w:color="auto"/>
              <w:right w:val="single" w:sz="8" w:space="0" w:color="auto"/>
            </w:tcBorders>
            <w:shd w:val="clear" w:color="auto" w:fill="auto"/>
            <w:vAlign w:val="center"/>
            <w:hideMark/>
          </w:tcPr>
          <w:p w14:paraId="158B1742" w14:textId="77777777" w:rsidR="009D2F19" w:rsidRPr="000F30A0" w:rsidRDefault="009D2F19" w:rsidP="009D2F19">
            <w:pPr>
              <w:spacing w:after="0" w:line="240" w:lineRule="auto"/>
              <w:rPr>
                <w:rFonts w:ascii="Times New Roman" w:eastAsia="Times New Roman" w:hAnsi="Times New Roman"/>
                <w:color w:val="000000"/>
              </w:rPr>
            </w:pPr>
            <w:r w:rsidRPr="000F30A0">
              <w:rPr>
                <w:rFonts w:ascii="Times New Roman" w:eastAsia="Times New Roman" w:hAnsi="Times New Roman"/>
                <w:color w:val="000000"/>
              </w:rPr>
              <w:t> </w:t>
            </w:r>
          </w:p>
        </w:tc>
        <w:tc>
          <w:tcPr>
            <w:tcW w:w="1540" w:type="dxa"/>
            <w:tcBorders>
              <w:top w:val="nil"/>
              <w:left w:val="nil"/>
              <w:bottom w:val="single" w:sz="8" w:space="0" w:color="auto"/>
              <w:right w:val="single" w:sz="8" w:space="0" w:color="auto"/>
            </w:tcBorders>
            <w:shd w:val="clear" w:color="auto" w:fill="auto"/>
            <w:vAlign w:val="center"/>
            <w:hideMark/>
          </w:tcPr>
          <w:p w14:paraId="1407EF4F" w14:textId="77777777" w:rsidR="009D2F19" w:rsidRPr="000F30A0" w:rsidRDefault="009D2F19" w:rsidP="009D2F19">
            <w:pPr>
              <w:spacing w:after="0" w:line="240" w:lineRule="auto"/>
              <w:rPr>
                <w:rFonts w:ascii="Times New Roman" w:eastAsia="Times New Roman" w:hAnsi="Times New Roman"/>
                <w:color w:val="000000"/>
              </w:rPr>
            </w:pPr>
            <w:r w:rsidRPr="000F30A0">
              <w:rPr>
                <w:rFonts w:ascii="Times New Roman" w:eastAsia="Times New Roman" w:hAnsi="Times New Roman"/>
                <w:color w:val="000000"/>
              </w:rPr>
              <w:t> </w:t>
            </w:r>
          </w:p>
        </w:tc>
      </w:tr>
      <w:tr w:rsidR="009D2F19" w:rsidRPr="000F30A0" w14:paraId="27014305" w14:textId="77777777" w:rsidTr="009D2F19">
        <w:trPr>
          <w:trHeight w:val="330"/>
        </w:trPr>
        <w:tc>
          <w:tcPr>
            <w:tcW w:w="3880" w:type="dxa"/>
            <w:tcBorders>
              <w:top w:val="nil"/>
              <w:left w:val="single" w:sz="8" w:space="0" w:color="auto"/>
              <w:bottom w:val="single" w:sz="8" w:space="0" w:color="auto"/>
              <w:right w:val="single" w:sz="8" w:space="0" w:color="auto"/>
            </w:tcBorders>
            <w:shd w:val="clear" w:color="auto" w:fill="auto"/>
            <w:vAlign w:val="center"/>
            <w:hideMark/>
          </w:tcPr>
          <w:p w14:paraId="7F102E8A" w14:textId="77777777" w:rsidR="009D2F19" w:rsidRPr="000F30A0" w:rsidRDefault="009D2F19" w:rsidP="009D2F19">
            <w:pPr>
              <w:spacing w:after="0" w:line="240" w:lineRule="auto"/>
              <w:rPr>
                <w:rFonts w:ascii="Times New Roman" w:eastAsia="Times New Roman" w:hAnsi="Times New Roman"/>
                <w:color w:val="000000"/>
              </w:rPr>
            </w:pPr>
            <w:r w:rsidRPr="000F30A0">
              <w:rPr>
                <w:rFonts w:ascii="Times New Roman" w:eastAsia="Times New Roman" w:hAnsi="Times New Roman"/>
                <w:color w:val="000000"/>
              </w:rPr>
              <w:t>Govt. holding after Bonus</w:t>
            </w:r>
          </w:p>
        </w:tc>
        <w:tc>
          <w:tcPr>
            <w:tcW w:w="1780" w:type="dxa"/>
            <w:tcBorders>
              <w:top w:val="nil"/>
              <w:left w:val="nil"/>
              <w:bottom w:val="single" w:sz="8" w:space="0" w:color="auto"/>
              <w:right w:val="single" w:sz="8" w:space="0" w:color="auto"/>
            </w:tcBorders>
            <w:shd w:val="clear" w:color="auto" w:fill="auto"/>
            <w:vAlign w:val="center"/>
            <w:hideMark/>
          </w:tcPr>
          <w:p w14:paraId="2AD66F5A" w14:textId="77777777" w:rsidR="009D2F19" w:rsidRPr="000F30A0" w:rsidRDefault="009D2F19" w:rsidP="009D2F19">
            <w:pPr>
              <w:spacing w:after="0" w:line="240" w:lineRule="auto"/>
              <w:rPr>
                <w:rFonts w:ascii="Times New Roman" w:eastAsia="Times New Roman" w:hAnsi="Times New Roman"/>
                <w:color w:val="000000"/>
              </w:rPr>
            </w:pPr>
            <w:r w:rsidRPr="000F30A0">
              <w:rPr>
                <w:rFonts w:ascii="Times New Roman" w:eastAsia="Times New Roman" w:hAnsi="Times New Roman"/>
                <w:color w:val="000000"/>
              </w:rPr>
              <w:t> </w:t>
            </w:r>
          </w:p>
        </w:tc>
        <w:tc>
          <w:tcPr>
            <w:tcW w:w="1620" w:type="dxa"/>
            <w:tcBorders>
              <w:top w:val="nil"/>
              <w:left w:val="nil"/>
              <w:bottom w:val="single" w:sz="8" w:space="0" w:color="auto"/>
              <w:right w:val="single" w:sz="8" w:space="0" w:color="auto"/>
            </w:tcBorders>
            <w:shd w:val="clear" w:color="auto" w:fill="auto"/>
            <w:vAlign w:val="center"/>
            <w:hideMark/>
          </w:tcPr>
          <w:p w14:paraId="7F7A960D" w14:textId="77777777" w:rsidR="009D2F19" w:rsidRPr="000F30A0" w:rsidRDefault="009D2F19" w:rsidP="009D2F19">
            <w:pPr>
              <w:spacing w:after="0" w:line="240" w:lineRule="auto"/>
              <w:rPr>
                <w:rFonts w:ascii="Times New Roman" w:eastAsia="Times New Roman" w:hAnsi="Times New Roman"/>
                <w:color w:val="000000"/>
              </w:rPr>
            </w:pPr>
            <w:r w:rsidRPr="000F30A0">
              <w:rPr>
                <w:rFonts w:ascii="Times New Roman" w:eastAsia="Times New Roman" w:hAnsi="Times New Roman"/>
                <w:color w:val="000000"/>
              </w:rPr>
              <w:t> </w:t>
            </w:r>
          </w:p>
        </w:tc>
        <w:tc>
          <w:tcPr>
            <w:tcW w:w="1540" w:type="dxa"/>
            <w:tcBorders>
              <w:top w:val="nil"/>
              <w:left w:val="nil"/>
              <w:bottom w:val="single" w:sz="8" w:space="0" w:color="auto"/>
              <w:right w:val="single" w:sz="8" w:space="0" w:color="auto"/>
            </w:tcBorders>
            <w:shd w:val="clear" w:color="auto" w:fill="auto"/>
            <w:vAlign w:val="center"/>
            <w:hideMark/>
          </w:tcPr>
          <w:p w14:paraId="1CDB6012" w14:textId="77777777" w:rsidR="009D2F19" w:rsidRPr="000F30A0" w:rsidRDefault="009D2F19" w:rsidP="009D2F19">
            <w:pPr>
              <w:spacing w:after="0" w:line="240" w:lineRule="auto"/>
              <w:rPr>
                <w:rFonts w:ascii="Times New Roman" w:eastAsia="Times New Roman" w:hAnsi="Times New Roman"/>
                <w:color w:val="000000"/>
              </w:rPr>
            </w:pPr>
            <w:r w:rsidRPr="000F30A0">
              <w:rPr>
                <w:rFonts w:ascii="Times New Roman" w:eastAsia="Times New Roman" w:hAnsi="Times New Roman"/>
                <w:color w:val="000000"/>
              </w:rPr>
              <w:t> </w:t>
            </w:r>
          </w:p>
        </w:tc>
      </w:tr>
    </w:tbl>
    <w:p w14:paraId="7674DE4C" w14:textId="77777777" w:rsidR="0061635C" w:rsidRPr="000F30A0" w:rsidRDefault="0061635C" w:rsidP="009D2F19">
      <w:pPr>
        <w:spacing w:after="0"/>
        <w:jc w:val="right"/>
        <w:rPr>
          <w:rFonts w:ascii="Times New Roman" w:hAnsi="Times New Roman"/>
          <w:b/>
        </w:rPr>
      </w:pPr>
      <w:r w:rsidRPr="000F30A0">
        <w:rPr>
          <w:rFonts w:ascii="Times New Roman" w:hAnsi="Times New Roman"/>
          <w:b/>
        </w:rPr>
        <w:br w:type="page"/>
      </w:r>
    </w:p>
    <w:tbl>
      <w:tblPr>
        <w:tblW w:w="10096" w:type="dxa"/>
        <w:tblLook w:val="04A0" w:firstRow="1" w:lastRow="0" w:firstColumn="1" w:lastColumn="0" w:noHBand="0" w:noVBand="1"/>
      </w:tblPr>
      <w:tblGrid>
        <w:gridCol w:w="889"/>
        <w:gridCol w:w="9207"/>
      </w:tblGrid>
      <w:tr w:rsidR="004F3DBD" w:rsidRPr="000F30A0" w14:paraId="5933F365" w14:textId="77777777" w:rsidTr="00282688">
        <w:trPr>
          <w:trHeight w:val="300"/>
        </w:trPr>
        <w:tc>
          <w:tcPr>
            <w:tcW w:w="10096" w:type="dxa"/>
            <w:gridSpan w:val="2"/>
            <w:vMerge w:val="restart"/>
            <w:tcBorders>
              <w:top w:val="nil"/>
              <w:left w:val="nil"/>
              <w:bottom w:val="nil"/>
              <w:right w:val="nil"/>
            </w:tcBorders>
            <w:vAlign w:val="center"/>
            <w:hideMark/>
          </w:tcPr>
          <w:p w14:paraId="32574662" w14:textId="77777777" w:rsidR="004F3DBD" w:rsidRPr="000F30A0" w:rsidRDefault="004F3DBD" w:rsidP="00282688">
            <w:pPr>
              <w:spacing w:after="0" w:line="240" w:lineRule="auto"/>
              <w:rPr>
                <w:rFonts w:ascii="Times New Roman" w:eastAsia="Times New Roman" w:hAnsi="Times New Roman"/>
                <w:color w:val="000000"/>
              </w:rPr>
            </w:pPr>
          </w:p>
        </w:tc>
      </w:tr>
      <w:tr w:rsidR="004F3DBD" w:rsidRPr="000F30A0" w14:paraId="4CC4EB80" w14:textId="77777777" w:rsidTr="00282688">
        <w:trPr>
          <w:trHeight w:val="300"/>
        </w:trPr>
        <w:tc>
          <w:tcPr>
            <w:tcW w:w="10096" w:type="dxa"/>
            <w:gridSpan w:val="2"/>
            <w:vMerge/>
            <w:tcBorders>
              <w:top w:val="nil"/>
              <w:left w:val="nil"/>
              <w:bottom w:val="single" w:sz="4" w:space="0" w:color="auto"/>
              <w:right w:val="nil"/>
            </w:tcBorders>
            <w:vAlign w:val="center"/>
            <w:hideMark/>
          </w:tcPr>
          <w:p w14:paraId="390D42B5" w14:textId="77777777" w:rsidR="004F3DBD" w:rsidRPr="000F30A0" w:rsidRDefault="004F3DBD" w:rsidP="00282688">
            <w:pPr>
              <w:spacing w:after="0" w:line="240" w:lineRule="auto"/>
              <w:rPr>
                <w:rFonts w:ascii="Times New Roman" w:eastAsia="Times New Roman" w:hAnsi="Times New Roman"/>
                <w:color w:val="000000"/>
              </w:rPr>
            </w:pPr>
          </w:p>
        </w:tc>
      </w:tr>
      <w:tr w:rsidR="004F3DBD" w:rsidRPr="000F30A0" w14:paraId="366AE7AC" w14:textId="77777777" w:rsidTr="00282688">
        <w:trPr>
          <w:trHeight w:val="630"/>
        </w:trPr>
        <w:tc>
          <w:tcPr>
            <w:tcW w:w="10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B6DDC" w14:textId="77777777" w:rsidR="004F3DBD" w:rsidRPr="000F30A0" w:rsidRDefault="004F3DBD" w:rsidP="00282688">
            <w:pPr>
              <w:spacing w:after="0" w:line="240" w:lineRule="auto"/>
              <w:jc w:val="center"/>
              <w:rPr>
                <w:rFonts w:ascii="Times New Roman" w:eastAsia="Times New Roman" w:hAnsi="Times New Roman"/>
                <w:b/>
                <w:bCs/>
              </w:rPr>
            </w:pPr>
            <w:r w:rsidRPr="000F30A0">
              <w:rPr>
                <w:rFonts w:ascii="Times New Roman" w:eastAsia="Times New Roman" w:hAnsi="Times New Roman"/>
                <w:b/>
                <w:bCs/>
              </w:rPr>
              <w:t>General Instructions for filling up the application</w:t>
            </w:r>
          </w:p>
          <w:p w14:paraId="35025B07" w14:textId="77777777" w:rsidR="004F3DBD" w:rsidRPr="000F30A0" w:rsidRDefault="004F3DBD" w:rsidP="00282688">
            <w:pPr>
              <w:spacing w:after="0" w:line="240" w:lineRule="auto"/>
              <w:jc w:val="center"/>
              <w:rPr>
                <w:rFonts w:ascii="Times New Roman" w:eastAsia="Times New Roman" w:hAnsi="Times New Roman"/>
              </w:rPr>
            </w:pPr>
          </w:p>
        </w:tc>
      </w:tr>
      <w:tr w:rsidR="004F3DBD" w:rsidRPr="000F30A0" w14:paraId="72314168" w14:textId="77777777" w:rsidTr="00282688">
        <w:trPr>
          <w:trHeight w:val="630"/>
        </w:trPr>
        <w:tc>
          <w:tcPr>
            <w:tcW w:w="889" w:type="dxa"/>
            <w:tcBorders>
              <w:top w:val="nil"/>
              <w:left w:val="single" w:sz="4" w:space="0" w:color="auto"/>
              <w:bottom w:val="single" w:sz="4" w:space="0" w:color="auto"/>
              <w:right w:val="single" w:sz="4" w:space="0" w:color="auto"/>
            </w:tcBorders>
            <w:shd w:val="clear" w:color="auto" w:fill="auto"/>
          </w:tcPr>
          <w:p w14:paraId="3E4679F1" w14:textId="77777777" w:rsidR="004F3DBD" w:rsidRPr="000F30A0" w:rsidRDefault="004F3DBD" w:rsidP="00282688">
            <w:pPr>
              <w:spacing w:after="0" w:line="240" w:lineRule="auto"/>
              <w:jc w:val="center"/>
              <w:rPr>
                <w:rFonts w:ascii="Times New Roman" w:eastAsia="Times New Roman" w:hAnsi="Times New Roman"/>
              </w:rPr>
            </w:pPr>
            <w:r w:rsidRPr="000F30A0">
              <w:rPr>
                <w:rFonts w:ascii="Times New Roman" w:eastAsia="Times New Roman" w:hAnsi="Times New Roman"/>
              </w:rPr>
              <w:t>1</w:t>
            </w:r>
          </w:p>
        </w:tc>
        <w:tc>
          <w:tcPr>
            <w:tcW w:w="9207" w:type="dxa"/>
            <w:tcBorders>
              <w:top w:val="nil"/>
              <w:left w:val="nil"/>
              <w:bottom w:val="single" w:sz="4" w:space="0" w:color="auto"/>
              <w:right w:val="single" w:sz="4" w:space="0" w:color="auto"/>
            </w:tcBorders>
            <w:shd w:val="clear" w:color="auto" w:fill="auto"/>
          </w:tcPr>
          <w:p w14:paraId="30C0DED4" w14:textId="77777777" w:rsidR="004F3DBD" w:rsidRPr="000F30A0" w:rsidRDefault="004F3DBD" w:rsidP="00282688">
            <w:pPr>
              <w:spacing w:after="0" w:line="240" w:lineRule="auto"/>
              <w:jc w:val="both"/>
              <w:rPr>
                <w:rFonts w:ascii="Times New Roman" w:eastAsia="Times New Roman" w:hAnsi="Times New Roman"/>
              </w:rPr>
            </w:pPr>
            <w:r w:rsidRPr="000F30A0">
              <w:rPr>
                <w:rFonts w:ascii="Times New Roman" w:eastAsia="Times New Roman" w:hAnsi="Times New Roman"/>
              </w:rPr>
              <w:t>Submit the Listing Application only on NEAPS (NSE Electronic Application Processing System) on the following URL: https://neaps.nseindia.com/NEWLISTINGCORP/</w:t>
            </w:r>
          </w:p>
        </w:tc>
      </w:tr>
      <w:tr w:rsidR="004F3DBD" w:rsidRPr="000F30A0" w14:paraId="7BB9428C" w14:textId="77777777" w:rsidTr="00282688">
        <w:trPr>
          <w:trHeight w:val="630"/>
        </w:trPr>
        <w:tc>
          <w:tcPr>
            <w:tcW w:w="889" w:type="dxa"/>
            <w:tcBorders>
              <w:top w:val="nil"/>
              <w:left w:val="single" w:sz="4" w:space="0" w:color="auto"/>
              <w:bottom w:val="single" w:sz="4" w:space="0" w:color="auto"/>
              <w:right w:val="single" w:sz="4" w:space="0" w:color="auto"/>
            </w:tcBorders>
            <w:shd w:val="clear" w:color="auto" w:fill="auto"/>
            <w:hideMark/>
          </w:tcPr>
          <w:p w14:paraId="66A71D2D" w14:textId="77777777" w:rsidR="004F3DBD" w:rsidRPr="000F30A0" w:rsidRDefault="004F3DBD" w:rsidP="00282688">
            <w:pPr>
              <w:spacing w:after="0" w:line="240" w:lineRule="auto"/>
              <w:jc w:val="center"/>
              <w:rPr>
                <w:rFonts w:ascii="Times New Roman" w:eastAsia="Times New Roman" w:hAnsi="Times New Roman"/>
              </w:rPr>
            </w:pPr>
            <w:r w:rsidRPr="000F30A0">
              <w:rPr>
                <w:rFonts w:ascii="Times New Roman" w:eastAsia="Times New Roman" w:hAnsi="Times New Roman"/>
              </w:rPr>
              <w:t>2</w:t>
            </w:r>
          </w:p>
        </w:tc>
        <w:tc>
          <w:tcPr>
            <w:tcW w:w="9207" w:type="dxa"/>
            <w:tcBorders>
              <w:top w:val="nil"/>
              <w:left w:val="nil"/>
              <w:bottom w:val="single" w:sz="4" w:space="0" w:color="auto"/>
              <w:right w:val="single" w:sz="4" w:space="0" w:color="auto"/>
            </w:tcBorders>
            <w:shd w:val="clear" w:color="auto" w:fill="auto"/>
            <w:hideMark/>
          </w:tcPr>
          <w:p w14:paraId="341744DB" w14:textId="77777777" w:rsidR="004F3DBD" w:rsidRPr="000F30A0" w:rsidRDefault="004F3DBD" w:rsidP="00282688">
            <w:pPr>
              <w:spacing w:after="0" w:line="240" w:lineRule="auto"/>
              <w:jc w:val="both"/>
              <w:rPr>
                <w:rFonts w:ascii="Times New Roman" w:eastAsia="Times New Roman" w:hAnsi="Times New Roman"/>
              </w:rPr>
            </w:pPr>
            <w:r w:rsidRPr="000F30A0">
              <w:rPr>
                <w:rFonts w:ascii="Times New Roman" w:eastAsia="Times New Roman" w:hAnsi="Times New Roman"/>
              </w:rPr>
              <w:t>If a particular field/detail in the application forms is not applicable, please mention the same as 'Not Applicable'</w:t>
            </w:r>
          </w:p>
        </w:tc>
      </w:tr>
      <w:tr w:rsidR="004F3DBD" w:rsidRPr="000F30A0" w14:paraId="06A40A67" w14:textId="77777777" w:rsidTr="00282688">
        <w:trPr>
          <w:trHeight w:val="315"/>
        </w:trPr>
        <w:tc>
          <w:tcPr>
            <w:tcW w:w="889" w:type="dxa"/>
            <w:tcBorders>
              <w:top w:val="nil"/>
              <w:left w:val="single" w:sz="4" w:space="0" w:color="auto"/>
              <w:bottom w:val="single" w:sz="4" w:space="0" w:color="auto"/>
              <w:right w:val="single" w:sz="4" w:space="0" w:color="auto"/>
            </w:tcBorders>
            <w:shd w:val="clear" w:color="auto" w:fill="auto"/>
            <w:hideMark/>
          </w:tcPr>
          <w:p w14:paraId="0D3AEF85" w14:textId="77777777" w:rsidR="004F3DBD" w:rsidRPr="000F30A0" w:rsidRDefault="004F3DBD" w:rsidP="00282688">
            <w:pPr>
              <w:spacing w:after="0" w:line="240" w:lineRule="auto"/>
              <w:jc w:val="center"/>
              <w:rPr>
                <w:rFonts w:ascii="Times New Roman" w:eastAsia="Times New Roman" w:hAnsi="Times New Roman"/>
              </w:rPr>
            </w:pPr>
            <w:r w:rsidRPr="000F30A0">
              <w:rPr>
                <w:rFonts w:ascii="Times New Roman" w:eastAsia="Times New Roman" w:hAnsi="Times New Roman"/>
              </w:rPr>
              <w:t>3</w:t>
            </w:r>
          </w:p>
        </w:tc>
        <w:tc>
          <w:tcPr>
            <w:tcW w:w="9207" w:type="dxa"/>
            <w:tcBorders>
              <w:top w:val="nil"/>
              <w:left w:val="nil"/>
              <w:bottom w:val="single" w:sz="4" w:space="0" w:color="auto"/>
              <w:right w:val="single" w:sz="4" w:space="0" w:color="auto"/>
            </w:tcBorders>
            <w:shd w:val="clear" w:color="auto" w:fill="auto"/>
            <w:hideMark/>
          </w:tcPr>
          <w:p w14:paraId="29038222" w14:textId="77777777" w:rsidR="004F3DBD" w:rsidRPr="000F30A0" w:rsidRDefault="004F3DBD" w:rsidP="00282688">
            <w:pPr>
              <w:spacing w:after="0" w:line="240" w:lineRule="auto"/>
              <w:jc w:val="both"/>
              <w:rPr>
                <w:rFonts w:ascii="Times New Roman" w:eastAsia="Times New Roman" w:hAnsi="Times New Roman"/>
              </w:rPr>
            </w:pPr>
            <w:r w:rsidRPr="000F30A0">
              <w:rPr>
                <w:rFonts w:ascii="Times New Roman" w:eastAsia="Times New Roman" w:hAnsi="Times New Roman"/>
              </w:rPr>
              <w:t>The Exchange reserves the right to ask for documents other than those mentioned above.</w:t>
            </w:r>
          </w:p>
        </w:tc>
      </w:tr>
      <w:tr w:rsidR="00D534E6" w:rsidRPr="000F30A0" w14:paraId="22DA151D" w14:textId="77777777" w:rsidTr="00D8217B">
        <w:trPr>
          <w:trHeight w:val="630"/>
        </w:trPr>
        <w:tc>
          <w:tcPr>
            <w:tcW w:w="889" w:type="dxa"/>
            <w:tcBorders>
              <w:top w:val="nil"/>
              <w:left w:val="single" w:sz="4" w:space="0" w:color="auto"/>
              <w:bottom w:val="single" w:sz="4" w:space="0" w:color="auto"/>
              <w:right w:val="single" w:sz="4" w:space="0" w:color="auto"/>
            </w:tcBorders>
            <w:shd w:val="clear" w:color="auto" w:fill="auto"/>
            <w:hideMark/>
          </w:tcPr>
          <w:p w14:paraId="5E2FBFCC" w14:textId="77777777" w:rsidR="00D534E6" w:rsidRPr="000F30A0" w:rsidRDefault="00D534E6" w:rsidP="00D534E6">
            <w:pPr>
              <w:spacing w:after="0" w:line="240" w:lineRule="auto"/>
              <w:jc w:val="center"/>
              <w:rPr>
                <w:rFonts w:ascii="Times New Roman" w:eastAsia="Times New Roman" w:hAnsi="Times New Roman"/>
              </w:rPr>
            </w:pPr>
            <w:r w:rsidRPr="000F30A0">
              <w:rPr>
                <w:rFonts w:ascii="Times New Roman" w:eastAsia="Times New Roman" w:hAnsi="Times New Roman"/>
              </w:rPr>
              <w:t>4</w:t>
            </w:r>
          </w:p>
        </w:tc>
        <w:tc>
          <w:tcPr>
            <w:tcW w:w="9207" w:type="dxa"/>
            <w:tcBorders>
              <w:top w:val="nil"/>
              <w:left w:val="nil"/>
              <w:bottom w:val="single" w:sz="4" w:space="0" w:color="auto"/>
              <w:right w:val="single" w:sz="4" w:space="0" w:color="auto"/>
            </w:tcBorders>
            <w:shd w:val="clear" w:color="auto" w:fill="auto"/>
            <w:hideMark/>
          </w:tcPr>
          <w:p w14:paraId="42908C91" w14:textId="77777777" w:rsidR="00D534E6" w:rsidRPr="002F20D4" w:rsidRDefault="00D534E6" w:rsidP="00D534E6">
            <w:pPr>
              <w:spacing w:after="0" w:line="240" w:lineRule="auto"/>
              <w:jc w:val="both"/>
              <w:rPr>
                <w:rFonts w:ascii="Times New Roman" w:eastAsia="Times New Roman" w:hAnsi="Times New Roman"/>
              </w:rPr>
            </w:pPr>
            <w:r w:rsidRPr="002F20D4">
              <w:rPr>
                <w:rFonts w:ascii="Times New Roman" w:eastAsia="Times New Roman" w:hAnsi="Times New Roman"/>
              </w:rPr>
              <w:t>For further clarifications please reach to the concern Exchange Officer. The details (contact no and E-mail Id) are available to NEAPS portal.</w:t>
            </w:r>
          </w:p>
          <w:p w14:paraId="68DDDFA8" w14:textId="3E6D7157" w:rsidR="00D534E6" w:rsidRPr="000F30A0" w:rsidRDefault="00D534E6" w:rsidP="00D534E6">
            <w:pPr>
              <w:spacing w:after="0" w:line="240" w:lineRule="auto"/>
              <w:jc w:val="both"/>
              <w:rPr>
                <w:rFonts w:ascii="Times New Roman" w:eastAsia="Times New Roman" w:hAnsi="Times New Roman"/>
              </w:rPr>
            </w:pPr>
            <w:r w:rsidRPr="002F20D4">
              <w:rPr>
                <w:rFonts w:ascii="Times New Roman" w:eastAsia="Times New Roman" w:hAnsi="Times New Roman"/>
              </w:rPr>
              <w:t>Path: - NEAPS &gt;&gt; Help &gt;&gt; Contact us</w:t>
            </w:r>
          </w:p>
        </w:tc>
      </w:tr>
      <w:tr w:rsidR="00D534E6" w:rsidRPr="000F30A0" w14:paraId="61A9A35E" w14:textId="77777777" w:rsidTr="00D534E6">
        <w:trPr>
          <w:trHeight w:val="315"/>
        </w:trPr>
        <w:tc>
          <w:tcPr>
            <w:tcW w:w="889" w:type="dxa"/>
            <w:tcBorders>
              <w:top w:val="single" w:sz="4" w:space="0" w:color="auto"/>
              <w:left w:val="single" w:sz="4" w:space="0" w:color="auto"/>
              <w:bottom w:val="single" w:sz="4" w:space="0" w:color="auto"/>
              <w:right w:val="single" w:sz="4" w:space="0" w:color="auto"/>
            </w:tcBorders>
            <w:shd w:val="clear" w:color="auto" w:fill="auto"/>
            <w:hideMark/>
          </w:tcPr>
          <w:p w14:paraId="2368AE49" w14:textId="77777777" w:rsidR="00D534E6" w:rsidRPr="000F30A0" w:rsidRDefault="00D534E6" w:rsidP="00D534E6">
            <w:pPr>
              <w:spacing w:after="0" w:line="240" w:lineRule="auto"/>
              <w:jc w:val="center"/>
              <w:rPr>
                <w:rFonts w:ascii="Times New Roman" w:eastAsia="Times New Roman" w:hAnsi="Times New Roman"/>
              </w:rPr>
            </w:pPr>
            <w:r w:rsidRPr="000F30A0">
              <w:rPr>
                <w:rFonts w:ascii="Times New Roman" w:eastAsia="Times New Roman" w:hAnsi="Times New Roman"/>
              </w:rPr>
              <w:t>5</w:t>
            </w:r>
          </w:p>
        </w:tc>
        <w:tc>
          <w:tcPr>
            <w:tcW w:w="9207" w:type="dxa"/>
            <w:tcBorders>
              <w:top w:val="single" w:sz="4" w:space="0" w:color="auto"/>
              <w:left w:val="single" w:sz="4" w:space="0" w:color="auto"/>
              <w:bottom w:val="single" w:sz="4" w:space="0" w:color="auto"/>
              <w:right w:val="single" w:sz="4" w:space="0" w:color="auto"/>
            </w:tcBorders>
            <w:shd w:val="clear" w:color="auto" w:fill="auto"/>
          </w:tcPr>
          <w:p w14:paraId="01F2FB91" w14:textId="07A1E835" w:rsidR="00D534E6" w:rsidRPr="000F30A0" w:rsidRDefault="00D534E6" w:rsidP="00D534E6">
            <w:pPr>
              <w:spacing w:after="0" w:line="240" w:lineRule="auto"/>
              <w:jc w:val="both"/>
              <w:rPr>
                <w:rFonts w:ascii="Times New Roman" w:eastAsia="Times New Roman" w:hAnsi="Times New Roman"/>
              </w:rPr>
            </w:pPr>
            <w:r w:rsidRPr="00D8217B">
              <w:rPr>
                <w:rFonts w:ascii="Times New Roman" w:eastAsia="Times New Roman" w:hAnsi="Times New Roman"/>
              </w:rPr>
              <w:t>Generally, the Exchange reverts to the company with the queries/approval on the application within T+</w:t>
            </w:r>
            <w:r>
              <w:rPr>
                <w:rFonts w:ascii="Times New Roman" w:eastAsia="Times New Roman" w:hAnsi="Times New Roman"/>
              </w:rPr>
              <w:t>1</w:t>
            </w:r>
            <w:r w:rsidRPr="00D8217B">
              <w:rPr>
                <w:rFonts w:ascii="Times New Roman" w:eastAsia="Times New Roman" w:hAnsi="Times New Roman"/>
              </w:rPr>
              <w:t xml:space="preserve"> working days. However, additional days may be required on case-to-case basis.</w:t>
            </w:r>
          </w:p>
        </w:tc>
      </w:tr>
    </w:tbl>
    <w:p w14:paraId="58A51A8D" w14:textId="77777777" w:rsidR="0061635C" w:rsidRPr="000F30A0" w:rsidRDefault="0061635C" w:rsidP="009D2F19">
      <w:pPr>
        <w:jc w:val="center"/>
        <w:rPr>
          <w:rFonts w:ascii="Times New Roman" w:hAnsi="Times New Roman"/>
        </w:rPr>
      </w:pPr>
    </w:p>
    <w:sectPr w:rsidR="0061635C" w:rsidRPr="000F30A0" w:rsidSect="00E1711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81779" w14:textId="77777777" w:rsidR="00E17116" w:rsidRDefault="00E17116" w:rsidP="003041C8">
      <w:pPr>
        <w:spacing w:after="0" w:line="240" w:lineRule="auto"/>
      </w:pPr>
      <w:r>
        <w:separator/>
      </w:r>
    </w:p>
  </w:endnote>
  <w:endnote w:type="continuationSeparator" w:id="0">
    <w:p w14:paraId="2020B783" w14:textId="77777777" w:rsidR="00E17116" w:rsidRDefault="00E17116" w:rsidP="00304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513C" w14:textId="77777777" w:rsidR="007022EF" w:rsidRDefault="007022EF">
    <w:pPr>
      <w:pStyle w:val="Footer"/>
    </w:pPr>
    <w:r>
      <w:rPr>
        <w:noProof/>
      </w:rPr>
      <mc:AlternateContent>
        <mc:Choice Requires="wps">
          <w:drawing>
            <wp:anchor distT="0" distB="0" distL="114300" distR="114300" simplePos="0" relativeHeight="251658240" behindDoc="0" locked="0" layoutInCell="0" allowOverlap="1" wp14:anchorId="13A68980" wp14:editId="76F59EA8">
              <wp:simplePos x="0" y="0"/>
              <wp:positionH relativeFrom="page">
                <wp:posOffset>0</wp:posOffset>
              </wp:positionH>
              <wp:positionV relativeFrom="page">
                <wp:posOffset>9594215</wp:posOffset>
              </wp:positionV>
              <wp:extent cx="7772400" cy="273685"/>
              <wp:effectExtent l="0" t="2540" r="0" b="0"/>
              <wp:wrapNone/>
              <wp:docPr id="2" name="MSIPCMf56546a383e78a55db427f56" descr="{&quot;HashCode&quot;:-1520812918,&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484D9" w14:textId="77777777" w:rsidR="007022EF" w:rsidRPr="007022EF" w:rsidRDefault="007022EF" w:rsidP="007022EF">
                          <w:pPr>
                            <w:spacing w:after="0"/>
                            <w:jc w:val="center"/>
                            <w:rPr>
                              <w:rFonts w:cs="Calibri"/>
                              <w:color w:val="A80000"/>
                              <w:sz w:val="20"/>
                            </w:rPr>
                          </w:pPr>
                          <w:r w:rsidRPr="007022EF">
                            <w:rPr>
                              <w:rFonts w:cs="Calibri"/>
                              <w:color w:val="A80000"/>
                              <w:sz w:val="20"/>
                            </w:rPr>
                            <w:t>Confidential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68980" id="_x0000_t202" coordsize="21600,21600" o:spt="202" path="m,l,21600r21600,l21600,xe">
              <v:stroke joinstyle="miter"/>
              <v:path gradientshapeok="t" o:connecttype="rect"/>
            </v:shapetype>
            <v:shape id="MSIPCMf56546a383e78a55db427f56" o:spid="_x0000_s1026" type="#_x0000_t202" alt="{&quot;HashCode&quot;:-1520812918,&quot;Height&quot;:792.0,&quot;Width&quot;:612.0,&quot;Placement&quot;:&quot;Footer&quot;,&quot;Index&quot;:&quot;Primary&quot;,&quot;Section&quot;:1,&quot;Top&quot;:0.0,&quot;Left&quot;:0.0}" style="position:absolute;margin-left:0;margin-top:755.45pt;width:612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" o:allowincell="f" filled="f" stroked="f">
              <v:textbox inset=",0,,0">
                <w:txbxContent>
                  <w:p w14:paraId="47D484D9" w14:textId="77777777" w:rsidR="007022EF" w:rsidRPr="007022EF" w:rsidRDefault="007022EF" w:rsidP="007022EF">
                    <w:pPr>
                      <w:spacing w:after="0"/>
                      <w:jc w:val="center"/>
                      <w:rPr>
                        <w:rFonts w:cs="Calibri"/>
                        <w:color w:val="A80000"/>
                        <w:sz w:val="20"/>
                      </w:rPr>
                    </w:pPr>
                    <w:r w:rsidRPr="007022EF">
                      <w:rPr>
                        <w:rFonts w:cs="Calibri"/>
                        <w:color w:val="A80000"/>
                        <w:sz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AB018" w14:textId="77777777" w:rsidR="00E17116" w:rsidRDefault="00E17116" w:rsidP="003041C8">
      <w:pPr>
        <w:spacing w:after="0" w:line="240" w:lineRule="auto"/>
      </w:pPr>
      <w:r>
        <w:separator/>
      </w:r>
    </w:p>
  </w:footnote>
  <w:footnote w:type="continuationSeparator" w:id="0">
    <w:p w14:paraId="369D5F50" w14:textId="77777777" w:rsidR="00E17116" w:rsidRDefault="00E17116" w:rsidP="00304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F5EDD" w14:textId="77777777" w:rsidR="003041C8" w:rsidRDefault="007022EF" w:rsidP="00870385">
    <w:pPr>
      <w:pStyle w:val="Header"/>
    </w:pPr>
    <w:r w:rsidRPr="00A002AF">
      <w:rPr>
        <w:noProof/>
      </w:rPr>
      <w:drawing>
        <wp:inline distT="0" distB="0" distL="0" distR="0" wp14:anchorId="3F654B79" wp14:editId="2C0D41EA">
          <wp:extent cx="53340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4891"/>
    <w:multiLevelType w:val="hybridMultilevel"/>
    <w:tmpl w:val="B19AF32C"/>
    <w:lvl w:ilvl="0" w:tplc="4A0C04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571CD"/>
    <w:multiLevelType w:val="hybridMultilevel"/>
    <w:tmpl w:val="614048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0724A"/>
    <w:multiLevelType w:val="hybridMultilevel"/>
    <w:tmpl w:val="6A18B2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2F7589"/>
    <w:multiLevelType w:val="hybridMultilevel"/>
    <w:tmpl w:val="DDB61B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8304DC"/>
    <w:multiLevelType w:val="hybridMultilevel"/>
    <w:tmpl w:val="2C2E5B20"/>
    <w:lvl w:ilvl="0" w:tplc="F490F338">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36325236"/>
    <w:multiLevelType w:val="hybridMultilevel"/>
    <w:tmpl w:val="962C7E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110623"/>
    <w:multiLevelType w:val="hybridMultilevel"/>
    <w:tmpl w:val="FFF88A38"/>
    <w:lvl w:ilvl="0" w:tplc="24DC8F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6B45FF"/>
    <w:multiLevelType w:val="hybridMultilevel"/>
    <w:tmpl w:val="E8D82C4A"/>
    <w:lvl w:ilvl="0" w:tplc="C226DA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DF0244"/>
    <w:multiLevelType w:val="hybridMultilevel"/>
    <w:tmpl w:val="F288CC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7C0982"/>
    <w:multiLevelType w:val="hybridMultilevel"/>
    <w:tmpl w:val="84A8A8FE"/>
    <w:lvl w:ilvl="0" w:tplc="824AF77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7396001">
    <w:abstractNumId w:val="2"/>
  </w:num>
  <w:num w:numId="2" w16cid:durableId="1700619909">
    <w:abstractNumId w:val="8"/>
  </w:num>
  <w:num w:numId="3" w16cid:durableId="111023012">
    <w:abstractNumId w:val="5"/>
  </w:num>
  <w:num w:numId="4" w16cid:durableId="710882489">
    <w:abstractNumId w:val="9"/>
  </w:num>
  <w:num w:numId="5" w16cid:durableId="2141874302">
    <w:abstractNumId w:val="7"/>
  </w:num>
  <w:num w:numId="6" w16cid:durableId="569072914">
    <w:abstractNumId w:val="4"/>
  </w:num>
  <w:num w:numId="7" w16cid:durableId="873929588">
    <w:abstractNumId w:val="0"/>
  </w:num>
  <w:num w:numId="8" w16cid:durableId="1211110542">
    <w:abstractNumId w:val="3"/>
  </w:num>
  <w:num w:numId="9" w16cid:durableId="471752683">
    <w:abstractNumId w:val="1"/>
  </w:num>
  <w:num w:numId="10" w16cid:durableId="9883633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C4A"/>
    <w:rsid w:val="000330EF"/>
    <w:rsid w:val="000A6EAB"/>
    <w:rsid w:val="000C503C"/>
    <w:rsid w:val="000F0DB4"/>
    <w:rsid w:val="000F30A0"/>
    <w:rsid w:val="000F5951"/>
    <w:rsid w:val="00177CAA"/>
    <w:rsid w:val="001A5DC0"/>
    <w:rsid w:val="0023677D"/>
    <w:rsid w:val="00236D8D"/>
    <w:rsid w:val="002405A5"/>
    <w:rsid w:val="002744E5"/>
    <w:rsid w:val="00286F50"/>
    <w:rsid w:val="002A62D3"/>
    <w:rsid w:val="002B064C"/>
    <w:rsid w:val="002D397B"/>
    <w:rsid w:val="002E5A5F"/>
    <w:rsid w:val="002F20D4"/>
    <w:rsid w:val="003041C8"/>
    <w:rsid w:val="00321608"/>
    <w:rsid w:val="00321BD9"/>
    <w:rsid w:val="00346C70"/>
    <w:rsid w:val="00350C8F"/>
    <w:rsid w:val="00366C37"/>
    <w:rsid w:val="00401B3F"/>
    <w:rsid w:val="0040657C"/>
    <w:rsid w:val="00430466"/>
    <w:rsid w:val="004442B6"/>
    <w:rsid w:val="004552D4"/>
    <w:rsid w:val="00485FF9"/>
    <w:rsid w:val="004B3BBB"/>
    <w:rsid w:val="004E1BB6"/>
    <w:rsid w:val="004E2689"/>
    <w:rsid w:val="004F3DBD"/>
    <w:rsid w:val="00526D24"/>
    <w:rsid w:val="00527AFB"/>
    <w:rsid w:val="005C3746"/>
    <w:rsid w:val="0061635C"/>
    <w:rsid w:val="00632063"/>
    <w:rsid w:val="0066215C"/>
    <w:rsid w:val="0067221B"/>
    <w:rsid w:val="006744E8"/>
    <w:rsid w:val="0067671C"/>
    <w:rsid w:val="0068130B"/>
    <w:rsid w:val="00686A47"/>
    <w:rsid w:val="007022EF"/>
    <w:rsid w:val="00714A65"/>
    <w:rsid w:val="00717261"/>
    <w:rsid w:val="0075113E"/>
    <w:rsid w:val="007607F0"/>
    <w:rsid w:val="00763EAD"/>
    <w:rsid w:val="00780621"/>
    <w:rsid w:val="007959D9"/>
    <w:rsid w:val="007F332B"/>
    <w:rsid w:val="0082496A"/>
    <w:rsid w:val="00857709"/>
    <w:rsid w:val="00865CA2"/>
    <w:rsid w:val="00870385"/>
    <w:rsid w:val="00876142"/>
    <w:rsid w:val="00881CFC"/>
    <w:rsid w:val="0088700E"/>
    <w:rsid w:val="00954B2C"/>
    <w:rsid w:val="00970AAA"/>
    <w:rsid w:val="009929E3"/>
    <w:rsid w:val="009B3069"/>
    <w:rsid w:val="009C3C4A"/>
    <w:rsid w:val="009C62E2"/>
    <w:rsid w:val="009D2F19"/>
    <w:rsid w:val="009F5773"/>
    <w:rsid w:val="00A007B8"/>
    <w:rsid w:val="00A82816"/>
    <w:rsid w:val="00AB3F47"/>
    <w:rsid w:val="00AD26CE"/>
    <w:rsid w:val="00B17C60"/>
    <w:rsid w:val="00B376B0"/>
    <w:rsid w:val="00B60FD7"/>
    <w:rsid w:val="00BA298B"/>
    <w:rsid w:val="00BA5766"/>
    <w:rsid w:val="00BB0215"/>
    <w:rsid w:val="00BF50A1"/>
    <w:rsid w:val="00C04CE4"/>
    <w:rsid w:val="00C42A38"/>
    <w:rsid w:val="00C8146C"/>
    <w:rsid w:val="00C85241"/>
    <w:rsid w:val="00CA5EDF"/>
    <w:rsid w:val="00CC4333"/>
    <w:rsid w:val="00CF769D"/>
    <w:rsid w:val="00D003C0"/>
    <w:rsid w:val="00D17111"/>
    <w:rsid w:val="00D41B30"/>
    <w:rsid w:val="00D534E6"/>
    <w:rsid w:val="00D8217B"/>
    <w:rsid w:val="00D82FC0"/>
    <w:rsid w:val="00D92D22"/>
    <w:rsid w:val="00D95217"/>
    <w:rsid w:val="00DB314F"/>
    <w:rsid w:val="00DC42A6"/>
    <w:rsid w:val="00DF4914"/>
    <w:rsid w:val="00E17116"/>
    <w:rsid w:val="00E17CC8"/>
    <w:rsid w:val="00E7055E"/>
    <w:rsid w:val="00EA7288"/>
    <w:rsid w:val="00EB5DED"/>
    <w:rsid w:val="00EE6254"/>
    <w:rsid w:val="00F470E8"/>
    <w:rsid w:val="00F66605"/>
    <w:rsid w:val="00F75787"/>
    <w:rsid w:val="00FB44EF"/>
    <w:rsid w:val="00FE7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8701C"/>
  <w15:chartTrackingRefBased/>
  <w15:docId w15:val="{5F6FF57B-5691-43B4-8089-560321B7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78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3C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C3C4A"/>
    <w:rPr>
      <w:rFonts w:ascii="Tahoma" w:hAnsi="Tahoma" w:cs="Tahoma"/>
      <w:sz w:val="16"/>
      <w:szCs w:val="16"/>
    </w:rPr>
  </w:style>
  <w:style w:type="table" w:styleId="TableGrid">
    <w:name w:val="Table Grid"/>
    <w:basedOn w:val="TableNormal"/>
    <w:uiPriority w:val="59"/>
    <w:rsid w:val="009C3C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C3C4A"/>
    <w:pPr>
      <w:ind w:left="720"/>
      <w:contextualSpacing/>
    </w:pPr>
  </w:style>
  <w:style w:type="paragraph" w:styleId="BodyTextIndent">
    <w:name w:val="Body Text Indent"/>
    <w:basedOn w:val="Normal"/>
    <w:link w:val="BodyTextIndentChar"/>
    <w:rsid w:val="00A82816"/>
    <w:pPr>
      <w:spacing w:after="0" w:line="240" w:lineRule="auto"/>
      <w:ind w:left="432" w:hanging="432"/>
    </w:pPr>
    <w:rPr>
      <w:rFonts w:ascii="Times New Roman" w:eastAsia="Times New Roman" w:hAnsi="Times New Roman"/>
      <w:sz w:val="24"/>
      <w:szCs w:val="24"/>
    </w:rPr>
  </w:style>
  <w:style w:type="character" w:customStyle="1" w:styleId="BodyTextIndentChar">
    <w:name w:val="Body Text Indent Char"/>
    <w:link w:val="BodyTextIndent"/>
    <w:rsid w:val="00A82816"/>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A82816"/>
    <w:pPr>
      <w:spacing w:after="120" w:line="480" w:lineRule="auto"/>
      <w:ind w:left="283"/>
    </w:pPr>
    <w:rPr>
      <w:rFonts w:ascii="Times New Roman" w:eastAsia="Times New Roman" w:hAnsi="Times New Roman"/>
      <w:sz w:val="20"/>
      <w:szCs w:val="20"/>
      <w:u w:color="FFFFFF"/>
    </w:rPr>
  </w:style>
  <w:style w:type="character" w:customStyle="1" w:styleId="BodyTextIndent2Char">
    <w:name w:val="Body Text Indent 2 Char"/>
    <w:link w:val="BodyTextIndent2"/>
    <w:uiPriority w:val="99"/>
    <w:semiHidden/>
    <w:rsid w:val="00A82816"/>
    <w:rPr>
      <w:rFonts w:ascii="Times New Roman" w:eastAsia="Times New Roman" w:hAnsi="Times New Roman" w:cs="Times New Roman"/>
      <w:sz w:val="20"/>
      <w:szCs w:val="20"/>
      <w:u w:color="FFFFFF"/>
    </w:rPr>
  </w:style>
  <w:style w:type="paragraph" w:styleId="BodyText2">
    <w:name w:val="Body Text 2"/>
    <w:basedOn w:val="Normal"/>
    <w:link w:val="BodyText2Char"/>
    <w:uiPriority w:val="99"/>
    <w:semiHidden/>
    <w:unhideWhenUsed/>
    <w:rsid w:val="00A82816"/>
    <w:pPr>
      <w:spacing w:after="120" w:line="480" w:lineRule="auto"/>
    </w:pPr>
    <w:rPr>
      <w:rFonts w:ascii="Times New Roman" w:eastAsia="Times New Roman" w:hAnsi="Times New Roman"/>
      <w:sz w:val="20"/>
      <w:szCs w:val="20"/>
      <w:u w:color="FFFFFF"/>
    </w:rPr>
  </w:style>
  <w:style w:type="character" w:customStyle="1" w:styleId="BodyText2Char">
    <w:name w:val="Body Text 2 Char"/>
    <w:link w:val="BodyText2"/>
    <w:uiPriority w:val="99"/>
    <w:semiHidden/>
    <w:rsid w:val="00A82816"/>
    <w:rPr>
      <w:rFonts w:ascii="Times New Roman" w:eastAsia="Times New Roman" w:hAnsi="Times New Roman" w:cs="Times New Roman"/>
      <w:sz w:val="20"/>
      <w:szCs w:val="20"/>
      <w:u w:color="FFFFFF"/>
    </w:rPr>
  </w:style>
  <w:style w:type="paragraph" w:styleId="BodyText">
    <w:name w:val="Body Text"/>
    <w:basedOn w:val="Normal"/>
    <w:link w:val="BodyTextChar"/>
    <w:uiPriority w:val="99"/>
    <w:semiHidden/>
    <w:unhideWhenUsed/>
    <w:rsid w:val="0068130B"/>
    <w:pPr>
      <w:spacing w:after="120"/>
    </w:pPr>
  </w:style>
  <w:style w:type="character" w:customStyle="1" w:styleId="BodyTextChar">
    <w:name w:val="Body Text Char"/>
    <w:basedOn w:val="DefaultParagraphFont"/>
    <w:link w:val="BodyText"/>
    <w:uiPriority w:val="99"/>
    <w:semiHidden/>
    <w:rsid w:val="0068130B"/>
  </w:style>
  <w:style w:type="character" w:styleId="Hyperlink">
    <w:name w:val="Hyperlink"/>
    <w:uiPriority w:val="99"/>
    <w:unhideWhenUsed/>
    <w:rsid w:val="0061635C"/>
    <w:rPr>
      <w:color w:val="0000FF"/>
      <w:u w:val="single"/>
    </w:rPr>
  </w:style>
  <w:style w:type="paragraph" w:styleId="Header">
    <w:name w:val="header"/>
    <w:basedOn w:val="Normal"/>
    <w:link w:val="HeaderChar"/>
    <w:uiPriority w:val="99"/>
    <w:unhideWhenUsed/>
    <w:rsid w:val="003041C8"/>
    <w:pPr>
      <w:tabs>
        <w:tab w:val="center" w:pos="4680"/>
        <w:tab w:val="right" w:pos="9360"/>
      </w:tabs>
    </w:pPr>
  </w:style>
  <w:style w:type="character" w:customStyle="1" w:styleId="HeaderChar">
    <w:name w:val="Header Char"/>
    <w:link w:val="Header"/>
    <w:uiPriority w:val="99"/>
    <w:rsid w:val="003041C8"/>
    <w:rPr>
      <w:sz w:val="22"/>
      <w:szCs w:val="22"/>
    </w:rPr>
  </w:style>
  <w:style w:type="paragraph" w:styleId="Footer">
    <w:name w:val="footer"/>
    <w:basedOn w:val="Normal"/>
    <w:link w:val="FooterChar"/>
    <w:uiPriority w:val="99"/>
    <w:unhideWhenUsed/>
    <w:rsid w:val="003041C8"/>
    <w:pPr>
      <w:tabs>
        <w:tab w:val="center" w:pos="4680"/>
        <w:tab w:val="right" w:pos="9360"/>
      </w:tabs>
    </w:pPr>
  </w:style>
  <w:style w:type="character" w:customStyle="1" w:styleId="FooterChar">
    <w:name w:val="Footer Char"/>
    <w:link w:val="Footer"/>
    <w:uiPriority w:val="99"/>
    <w:rsid w:val="003041C8"/>
    <w:rPr>
      <w:sz w:val="22"/>
      <w:szCs w:val="22"/>
    </w:rPr>
  </w:style>
  <w:style w:type="paragraph" w:customStyle="1" w:styleId="Default">
    <w:name w:val="Default"/>
    <w:rsid w:val="003041C8"/>
    <w:pPr>
      <w:autoSpaceDE w:val="0"/>
      <w:autoSpaceDN w:val="0"/>
      <w:adjustRightInd w:val="0"/>
    </w:pPr>
    <w:rPr>
      <w:rFonts w:ascii="Times New Roman" w:hAnsi="Times New Roman"/>
      <w:color w:val="000000"/>
      <w:sz w:val="24"/>
      <w:szCs w:val="24"/>
    </w:rPr>
  </w:style>
  <w:style w:type="character" w:customStyle="1" w:styleId="markspr6eqbx9">
    <w:name w:val="markspr6eqbx9"/>
    <w:rsid w:val="00526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24637">
      <w:bodyDiv w:val="1"/>
      <w:marLeft w:val="0"/>
      <w:marRight w:val="0"/>
      <w:marTop w:val="0"/>
      <w:marBottom w:val="0"/>
      <w:divBdr>
        <w:top w:val="none" w:sz="0" w:space="0" w:color="auto"/>
        <w:left w:val="none" w:sz="0" w:space="0" w:color="auto"/>
        <w:bottom w:val="none" w:sz="0" w:space="0" w:color="auto"/>
        <w:right w:val="none" w:sz="0" w:space="0" w:color="auto"/>
      </w:divBdr>
    </w:div>
    <w:div w:id="534656836">
      <w:bodyDiv w:val="1"/>
      <w:marLeft w:val="0"/>
      <w:marRight w:val="0"/>
      <w:marTop w:val="0"/>
      <w:marBottom w:val="0"/>
      <w:divBdr>
        <w:top w:val="none" w:sz="0" w:space="0" w:color="auto"/>
        <w:left w:val="none" w:sz="0" w:space="0" w:color="auto"/>
        <w:bottom w:val="none" w:sz="0" w:space="0" w:color="auto"/>
        <w:right w:val="none" w:sz="0" w:space="0" w:color="auto"/>
      </w:divBdr>
    </w:div>
    <w:div w:id="868957585">
      <w:bodyDiv w:val="1"/>
      <w:marLeft w:val="0"/>
      <w:marRight w:val="0"/>
      <w:marTop w:val="0"/>
      <w:marBottom w:val="0"/>
      <w:divBdr>
        <w:top w:val="none" w:sz="0" w:space="0" w:color="auto"/>
        <w:left w:val="none" w:sz="0" w:space="0" w:color="auto"/>
        <w:bottom w:val="none" w:sz="0" w:space="0" w:color="auto"/>
        <w:right w:val="none" w:sz="0" w:space="0" w:color="auto"/>
      </w:divBdr>
    </w:div>
    <w:div w:id="914558078">
      <w:bodyDiv w:val="1"/>
      <w:marLeft w:val="0"/>
      <w:marRight w:val="0"/>
      <w:marTop w:val="0"/>
      <w:marBottom w:val="0"/>
      <w:divBdr>
        <w:top w:val="none" w:sz="0" w:space="0" w:color="auto"/>
        <w:left w:val="none" w:sz="0" w:space="0" w:color="auto"/>
        <w:bottom w:val="none" w:sz="0" w:space="0" w:color="auto"/>
        <w:right w:val="none" w:sz="0" w:space="0" w:color="auto"/>
      </w:divBdr>
    </w:div>
    <w:div w:id="1466698151">
      <w:bodyDiv w:val="1"/>
      <w:marLeft w:val="0"/>
      <w:marRight w:val="0"/>
      <w:marTop w:val="0"/>
      <w:marBottom w:val="0"/>
      <w:divBdr>
        <w:top w:val="none" w:sz="0" w:space="0" w:color="auto"/>
        <w:left w:val="none" w:sz="0" w:space="0" w:color="auto"/>
        <w:bottom w:val="none" w:sz="0" w:space="0" w:color="auto"/>
        <w:right w:val="none" w:sz="0" w:space="0" w:color="auto"/>
      </w:divBdr>
    </w:div>
    <w:div w:id="167486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5104</CharactersWithSpaces>
  <SharedDoc>false</SharedDoc>
  <HLinks>
    <vt:vector size="6" baseType="variant">
      <vt:variant>
        <vt:i4>5832776</vt:i4>
      </vt:variant>
      <vt:variant>
        <vt:i4>0</vt:i4>
      </vt:variant>
      <vt:variant>
        <vt:i4>0</vt:i4>
      </vt:variant>
      <vt:variant>
        <vt:i4>5</vt:i4>
      </vt:variant>
      <vt:variant>
        <vt:lpwstr>https://www.connect2nse.com/LISTING/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hsurati</dc:creator>
  <cp:keywords/>
  <cp:lastModifiedBy>Srishti Soni (REGUOPS)</cp:lastModifiedBy>
  <cp:revision>3</cp:revision>
  <cp:lastPrinted>2021-07-15T08:39:00Z</cp:lastPrinted>
  <dcterms:created xsi:type="dcterms:W3CDTF">2024-03-07T06:48:00Z</dcterms:created>
  <dcterms:modified xsi:type="dcterms:W3CDTF">2024-04-24T06:43:00Z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79928-bf72-407d-92c0-68909117d533_Enabled">
    <vt:lpwstr>true</vt:lpwstr>
  </property>
  <property fmtid="{D5CDD505-2E9C-101B-9397-08002B2CF9AE}" pid="3" name="MSIP_Label_f4479928-bf72-407d-92c0-68909117d533_SetDate">
    <vt:lpwstr>2022-07-06T11:35:10Z</vt:lpwstr>
  </property>
  <property fmtid="{D5CDD505-2E9C-101B-9397-08002B2CF9AE}" pid="4" name="MSIP_Label_f4479928-bf72-407d-92c0-68909117d533_Method">
    <vt:lpwstr>Standard</vt:lpwstr>
  </property>
  <property fmtid="{D5CDD505-2E9C-101B-9397-08002B2CF9AE}" pid="5" name="MSIP_Label_f4479928-bf72-407d-92c0-68909117d533_Name">
    <vt:lpwstr>f4479928-bf72-407d-92c0-68909117d533</vt:lpwstr>
  </property>
  <property fmtid="{D5CDD505-2E9C-101B-9397-08002B2CF9AE}" pid="6" name="MSIP_Label_f4479928-bf72-407d-92c0-68909117d533_SiteId">
    <vt:lpwstr>fb8ed654-3195-4846-ac37-491dc8a2349e</vt:lpwstr>
  </property>
  <property fmtid="{D5CDD505-2E9C-101B-9397-08002B2CF9AE}" pid="7" name="MSIP_Label_f4479928-bf72-407d-92c0-68909117d533_ActionId">
    <vt:lpwstr>ed8d947e-0c8c-4977-8a7e-c373309ef8ac</vt:lpwstr>
  </property>
  <property fmtid="{D5CDD505-2E9C-101B-9397-08002B2CF9AE}" pid="8" name="MSIP_Label_f4479928-bf72-407d-92c0-68909117d533_ContentBits">
    <vt:lpwstr>2</vt:lpwstr>
  </property>
</Properties>
</file>